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E76" w:rsidRPr="003A7E76" w:rsidRDefault="003A7E76" w:rsidP="003A7E76">
      <w:pPr>
        <w:pStyle w:val="Tekstpodstawowy"/>
        <w:spacing w:after="0"/>
        <w:ind w:right="-427"/>
        <w:jc w:val="both"/>
        <w:rPr>
          <w:rFonts w:ascii="Arial" w:hAnsi="Arial" w:cs="Arial"/>
          <w:b/>
          <w:sz w:val="22"/>
          <w:szCs w:val="22"/>
          <w:u w:val="single"/>
        </w:rPr>
      </w:pPr>
      <w:r w:rsidRPr="003A7E76">
        <w:rPr>
          <w:rFonts w:ascii="Arial" w:hAnsi="Arial" w:cs="Arial"/>
          <w:b/>
          <w:iCs/>
          <w:sz w:val="22"/>
          <w:szCs w:val="22"/>
          <w:u w:val="single"/>
        </w:rPr>
        <w:t xml:space="preserve">dot. postępowania o udzielenie zamówienia publicznego na </w:t>
      </w:r>
      <w:r w:rsidRPr="003A7E76">
        <w:rPr>
          <w:rFonts w:ascii="Arial" w:hAnsi="Arial" w:cs="Arial"/>
          <w:b/>
          <w:sz w:val="22"/>
          <w:szCs w:val="22"/>
          <w:u w:val="single"/>
        </w:rPr>
        <w:t>sukcesywne dostawy olejów i smarów  - znak: SKMMS–ZP/N/23/14</w:t>
      </w:r>
    </w:p>
    <w:p w:rsidR="003A7E76" w:rsidRPr="003A7E76" w:rsidRDefault="003A7E76" w:rsidP="003A7E76">
      <w:pPr>
        <w:pStyle w:val="western"/>
        <w:spacing w:line="276" w:lineRule="auto"/>
        <w:jc w:val="both"/>
        <w:rPr>
          <w:bCs/>
          <w:sz w:val="22"/>
          <w:szCs w:val="22"/>
        </w:rPr>
      </w:pPr>
      <w:r w:rsidRPr="003A7E76">
        <w:rPr>
          <w:bCs/>
          <w:sz w:val="22"/>
          <w:szCs w:val="22"/>
        </w:rPr>
        <w:t>Zamawiający przedstawia w załączeniu zadane pytania do treści Specyfikacji Istotnych Warunków Zamówienia wraz z treścią odpowiedzi</w:t>
      </w:r>
    </w:p>
    <w:p w:rsidR="003A7E76" w:rsidRPr="00226351" w:rsidRDefault="003A7E76" w:rsidP="003A7E76">
      <w:pPr>
        <w:pStyle w:val="Bezodstpw"/>
        <w:spacing w:line="276" w:lineRule="auto"/>
        <w:jc w:val="both"/>
        <w:rPr>
          <w:rFonts w:cs="Arial"/>
          <w:szCs w:val="22"/>
        </w:rPr>
      </w:pPr>
    </w:p>
    <w:p w:rsidR="003A7E76" w:rsidRDefault="003A7E76" w:rsidP="003A7E76">
      <w:pPr>
        <w:pStyle w:val="Bezodstpw"/>
        <w:numPr>
          <w:ilvl w:val="0"/>
          <w:numId w:val="1"/>
        </w:numPr>
        <w:spacing w:line="276" w:lineRule="auto"/>
        <w:jc w:val="both"/>
        <w:rPr>
          <w:rFonts w:cs="Arial"/>
          <w:szCs w:val="22"/>
        </w:rPr>
      </w:pPr>
      <w:r>
        <w:rPr>
          <w:rFonts w:cs="Arial"/>
          <w:szCs w:val="22"/>
        </w:rPr>
        <w:t xml:space="preserve">Dot. poz. 6. Olej sprężarkowy Shell </w:t>
      </w:r>
      <w:proofErr w:type="spellStart"/>
      <w:r>
        <w:rPr>
          <w:rFonts w:cs="Arial"/>
          <w:szCs w:val="22"/>
        </w:rPr>
        <w:t>Corena</w:t>
      </w:r>
      <w:proofErr w:type="spellEnd"/>
      <w:r>
        <w:rPr>
          <w:rFonts w:cs="Arial"/>
          <w:szCs w:val="22"/>
        </w:rPr>
        <w:t xml:space="preserve"> D-46 oraz poz. 9. </w:t>
      </w:r>
      <w:proofErr w:type="spellStart"/>
      <w:r>
        <w:rPr>
          <w:rFonts w:cs="Arial"/>
          <w:szCs w:val="22"/>
        </w:rPr>
        <w:t>Hipol</w:t>
      </w:r>
      <w:proofErr w:type="spellEnd"/>
      <w:r>
        <w:rPr>
          <w:rFonts w:cs="Arial"/>
          <w:szCs w:val="22"/>
        </w:rPr>
        <w:t xml:space="preserve"> 15F.</w:t>
      </w:r>
    </w:p>
    <w:p w:rsidR="003A7E76" w:rsidRDefault="003A7E76" w:rsidP="003A7E76">
      <w:pPr>
        <w:pStyle w:val="Bezodstpw"/>
        <w:spacing w:line="276" w:lineRule="auto"/>
        <w:ind w:left="720"/>
        <w:jc w:val="both"/>
        <w:rPr>
          <w:rFonts w:cs="Arial"/>
          <w:szCs w:val="22"/>
        </w:rPr>
      </w:pPr>
      <w:r>
        <w:rPr>
          <w:rFonts w:cs="Arial"/>
          <w:szCs w:val="22"/>
        </w:rPr>
        <w:t xml:space="preserve">Czy Zamawiający dopuszcza możliwość zaproponowania w ofercie produktów równoważnych o parametrach nie gorszych niż produkty wymienione w pkt. 3.1.1 SIWZ, poz. 6 i 9? </w:t>
      </w:r>
    </w:p>
    <w:p w:rsidR="003A7E76" w:rsidRDefault="003A7E76" w:rsidP="003A7E76">
      <w:pPr>
        <w:pStyle w:val="Bezodstpw"/>
        <w:spacing w:line="276" w:lineRule="auto"/>
        <w:ind w:left="720"/>
        <w:jc w:val="both"/>
        <w:rPr>
          <w:rFonts w:cs="Arial"/>
          <w:szCs w:val="22"/>
        </w:rPr>
      </w:pPr>
    </w:p>
    <w:p w:rsidR="003A7E76" w:rsidRDefault="003A7E76" w:rsidP="003A7E76">
      <w:pPr>
        <w:pStyle w:val="Bezodstpw"/>
        <w:spacing w:line="276" w:lineRule="auto"/>
        <w:ind w:left="720"/>
        <w:jc w:val="both"/>
        <w:rPr>
          <w:rFonts w:cs="Arial"/>
          <w:szCs w:val="22"/>
        </w:rPr>
      </w:pPr>
      <w:r>
        <w:rPr>
          <w:rFonts w:cs="Arial"/>
          <w:szCs w:val="22"/>
        </w:rPr>
        <w:t>Odpowiedź:</w:t>
      </w:r>
    </w:p>
    <w:p w:rsidR="003A7E76" w:rsidRDefault="00B42F60" w:rsidP="003A7E76">
      <w:pPr>
        <w:pStyle w:val="Bezodstpw"/>
        <w:spacing w:line="276" w:lineRule="auto"/>
        <w:ind w:left="720"/>
        <w:jc w:val="both"/>
        <w:rPr>
          <w:rFonts w:cs="Arial"/>
          <w:szCs w:val="22"/>
        </w:rPr>
      </w:pPr>
      <w:r>
        <w:rPr>
          <w:rFonts w:cs="Arial"/>
          <w:szCs w:val="22"/>
        </w:rPr>
        <w:t>Zamawiający nie dopuszcza takiej możliwości.</w:t>
      </w:r>
    </w:p>
    <w:p w:rsidR="003A7E76" w:rsidRDefault="003A7E76" w:rsidP="003A7E76">
      <w:pPr>
        <w:pStyle w:val="Bezodstpw"/>
        <w:spacing w:line="276" w:lineRule="auto"/>
        <w:ind w:left="720"/>
        <w:jc w:val="both"/>
        <w:rPr>
          <w:rFonts w:cs="Arial"/>
          <w:szCs w:val="22"/>
        </w:rPr>
      </w:pPr>
    </w:p>
    <w:p w:rsidR="003A7E76" w:rsidRDefault="003A7E76" w:rsidP="003A7E76">
      <w:pPr>
        <w:pStyle w:val="Bezodstpw"/>
        <w:numPr>
          <w:ilvl w:val="0"/>
          <w:numId w:val="1"/>
        </w:numPr>
        <w:spacing w:line="276" w:lineRule="auto"/>
        <w:jc w:val="both"/>
        <w:rPr>
          <w:rFonts w:cs="Arial"/>
          <w:szCs w:val="22"/>
        </w:rPr>
      </w:pPr>
      <w:r>
        <w:rPr>
          <w:rFonts w:cs="Arial"/>
          <w:szCs w:val="22"/>
        </w:rPr>
        <w:t xml:space="preserve">Zgodnie z pkt. 3.1.1 SIWZ </w:t>
      </w:r>
      <w:r>
        <w:rPr>
          <w:rFonts w:cs="Arial"/>
          <w:i/>
          <w:szCs w:val="22"/>
        </w:rPr>
        <w:t>Dostawca zobowiązany jest dostarczyć karty charakterystyki preparatu oraz świadectwo kontroli jakości.</w:t>
      </w:r>
      <w:r>
        <w:rPr>
          <w:rFonts w:cs="Arial"/>
          <w:szCs w:val="22"/>
        </w:rPr>
        <w:t xml:space="preserve"> </w:t>
      </w:r>
    </w:p>
    <w:p w:rsidR="003A7E76" w:rsidRDefault="003A7E76" w:rsidP="003A7E76">
      <w:pPr>
        <w:pStyle w:val="Bezodstpw"/>
        <w:spacing w:line="276" w:lineRule="auto"/>
        <w:ind w:left="720"/>
        <w:jc w:val="both"/>
        <w:rPr>
          <w:rFonts w:cs="Arial"/>
          <w:szCs w:val="22"/>
        </w:rPr>
      </w:pPr>
      <w:r>
        <w:rPr>
          <w:rFonts w:cs="Arial"/>
          <w:szCs w:val="22"/>
        </w:rPr>
        <w:t>Rozumiemy, iż powyższe dokumenty Wykonawca ma dołączyć do dostawy, nie do oferty.</w:t>
      </w:r>
    </w:p>
    <w:p w:rsidR="003A7E76" w:rsidRDefault="003A7E76" w:rsidP="003A7E76">
      <w:pPr>
        <w:pStyle w:val="Bezodstpw"/>
        <w:spacing w:line="276" w:lineRule="auto"/>
        <w:ind w:left="720"/>
        <w:jc w:val="both"/>
        <w:rPr>
          <w:rFonts w:cs="Arial"/>
          <w:szCs w:val="22"/>
        </w:rPr>
      </w:pPr>
    </w:p>
    <w:p w:rsidR="003A7E76" w:rsidRPr="003A7E76" w:rsidRDefault="003A7E76" w:rsidP="003A7E76">
      <w:pPr>
        <w:pStyle w:val="Bezodstpw"/>
        <w:spacing w:line="276" w:lineRule="auto"/>
        <w:ind w:left="720"/>
        <w:jc w:val="both"/>
        <w:rPr>
          <w:rFonts w:cs="Arial"/>
          <w:szCs w:val="22"/>
        </w:rPr>
      </w:pPr>
      <w:r w:rsidRPr="003A7E76">
        <w:rPr>
          <w:rFonts w:cs="Arial"/>
          <w:szCs w:val="22"/>
        </w:rPr>
        <w:t>Odpowiedź:</w:t>
      </w:r>
    </w:p>
    <w:p w:rsidR="003A7E76" w:rsidRDefault="00B42F60" w:rsidP="003A7E76">
      <w:pPr>
        <w:pStyle w:val="Bezodstpw"/>
        <w:spacing w:line="276" w:lineRule="auto"/>
        <w:ind w:left="720"/>
        <w:jc w:val="both"/>
        <w:rPr>
          <w:rFonts w:cs="Arial"/>
          <w:szCs w:val="22"/>
        </w:rPr>
      </w:pPr>
      <w:r>
        <w:rPr>
          <w:rFonts w:cs="Arial"/>
          <w:szCs w:val="22"/>
        </w:rPr>
        <w:t>Karty charakterystyki preparatu należy dołączyć do oferty, natomiast świadectwo kontroli jakości – do dostawy.</w:t>
      </w:r>
    </w:p>
    <w:p w:rsidR="003A7E76" w:rsidRDefault="003A7E76" w:rsidP="003A7E76">
      <w:pPr>
        <w:pStyle w:val="Bezodstpw"/>
        <w:spacing w:line="276" w:lineRule="auto"/>
        <w:ind w:left="720"/>
        <w:jc w:val="both"/>
        <w:rPr>
          <w:rFonts w:cs="Arial"/>
          <w:szCs w:val="22"/>
        </w:rPr>
      </w:pPr>
    </w:p>
    <w:p w:rsidR="003A7E76" w:rsidRDefault="003A7E76" w:rsidP="003A7E76">
      <w:pPr>
        <w:pStyle w:val="Bezodstpw"/>
        <w:numPr>
          <w:ilvl w:val="0"/>
          <w:numId w:val="1"/>
        </w:numPr>
        <w:spacing w:line="276" w:lineRule="auto"/>
        <w:jc w:val="both"/>
        <w:rPr>
          <w:rFonts w:cs="Arial"/>
          <w:szCs w:val="22"/>
        </w:rPr>
      </w:pPr>
      <w:r>
        <w:rPr>
          <w:rFonts w:cs="Arial"/>
          <w:szCs w:val="22"/>
        </w:rPr>
        <w:t>Prosimy o informację dotyczącą sposobu obliczania ceny.</w:t>
      </w:r>
    </w:p>
    <w:p w:rsidR="003A7E76" w:rsidRDefault="003A7E76" w:rsidP="003A7E76">
      <w:pPr>
        <w:pStyle w:val="Bezodstpw"/>
        <w:numPr>
          <w:ilvl w:val="0"/>
          <w:numId w:val="2"/>
        </w:numPr>
        <w:spacing w:line="276" w:lineRule="auto"/>
        <w:jc w:val="both"/>
        <w:rPr>
          <w:rFonts w:cs="Arial"/>
          <w:szCs w:val="22"/>
        </w:rPr>
      </w:pPr>
      <w:r>
        <w:rPr>
          <w:rFonts w:cs="Arial"/>
          <w:szCs w:val="22"/>
        </w:rPr>
        <w:t xml:space="preserve">Formularz Cenowy, kol. 6- czy </w:t>
      </w:r>
      <w:r w:rsidRPr="00B65A37">
        <w:rPr>
          <w:rFonts w:cs="Arial"/>
          <w:b/>
          <w:szCs w:val="22"/>
        </w:rPr>
        <w:t>cena brutto</w:t>
      </w:r>
      <w:r>
        <w:rPr>
          <w:rFonts w:cs="Arial"/>
          <w:szCs w:val="22"/>
        </w:rPr>
        <w:t xml:space="preserve"> powinna być obliczona poprzez przemnożenie podanych ilości przez cenę brutto za 1 litr/kg, tj.  </w:t>
      </w:r>
      <w:r w:rsidRPr="00B66887">
        <w:rPr>
          <w:rFonts w:cs="Arial"/>
          <w:szCs w:val="22"/>
          <w:u w:val="single"/>
        </w:rPr>
        <w:t>kol. 6= kol. 3 × kol. 5</w:t>
      </w:r>
      <w:r>
        <w:rPr>
          <w:rFonts w:cs="Arial"/>
          <w:szCs w:val="22"/>
        </w:rPr>
        <w:t>?</w:t>
      </w:r>
    </w:p>
    <w:p w:rsidR="003A7E76" w:rsidRDefault="003A7E76" w:rsidP="003A7E76">
      <w:pPr>
        <w:pStyle w:val="Bezodstpw"/>
        <w:numPr>
          <w:ilvl w:val="0"/>
          <w:numId w:val="2"/>
        </w:numPr>
        <w:spacing w:line="276" w:lineRule="auto"/>
        <w:jc w:val="both"/>
        <w:rPr>
          <w:rFonts w:cs="Arial"/>
          <w:szCs w:val="22"/>
        </w:rPr>
      </w:pPr>
      <w:r w:rsidRPr="00B66887">
        <w:rPr>
          <w:rFonts w:cs="Arial"/>
          <w:szCs w:val="22"/>
        </w:rPr>
        <w:t>Formularz Oferty</w:t>
      </w:r>
      <w:r>
        <w:rPr>
          <w:rFonts w:cs="Arial"/>
          <w:szCs w:val="22"/>
        </w:rPr>
        <w:t>, pkt. III</w:t>
      </w:r>
      <w:r w:rsidRPr="00B66887">
        <w:rPr>
          <w:rFonts w:cs="Arial"/>
          <w:szCs w:val="22"/>
        </w:rPr>
        <w:t xml:space="preserve">- czy </w:t>
      </w:r>
      <w:r w:rsidRPr="00B65A37">
        <w:rPr>
          <w:rFonts w:cs="Arial"/>
          <w:b/>
          <w:szCs w:val="22"/>
        </w:rPr>
        <w:t>cena oferty brutto</w:t>
      </w:r>
      <w:r w:rsidRPr="00B66887">
        <w:rPr>
          <w:rFonts w:cs="Arial"/>
          <w:szCs w:val="22"/>
        </w:rPr>
        <w:t xml:space="preserve"> powinna być obliczona poprzez zsumowanie poszczególnych wartości brutto z kol. 6 Formularza Cenowego?</w:t>
      </w:r>
    </w:p>
    <w:p w:rsidR="003A7E76" w:rsidRDefault="003A7E76" w:rsidP="003A7E76">
      <w:pPr>
        <w:pStyle w:val="Bezodstpw"/>
        <w:numPr>
          <w:ilvl w:val="0"/>
          <w:numId w:val="2"/>
        </w:numPr>
        <w:spacing w:line="276" w:lineRule="auto"/>
        <w:jc w:val="both"/>
        <w:rPr>
          <w:rFonts w:cs="Arial"/>
          <w:szCs w:val="22"/>
        </w:rPr>
      </w:pPr>
      <w:r w:rsidRPr="00B66887">
        <w:rPr>
          <w:rFonts w:cs="Arial"/>
          <w:szCs w:val="22"/>
        </w:rPr>
        <w:t>Formularz Oferty</w:t>
      </w:r>
      <w:r>
        <w:rPr>
          <w:rFonts w:cs="Arial"/>
          <w:szCs w:val="22"/>
        </w:rPr>
        <w:t xml:space="preserve">, pkt III- czy </w:t>
      </w:r>
      <w:r w:rsidRPr="00B65A37">
        <w:rPr>
          <w:rFonts w:cs="Arial"/>
          <w:b/>
          <w:szCs w:val="22"/>
        </w:rPr>
        <w:t>cena netto</w:t>
      </w:r>
      <w:r>
        <w:rPr>
          <w:rFonts w:cs="Arial"/>
          <w:szCs w:val="22"/>
        </w:rPr>
        <w:t xml:space="preserve"> powinna być obliczona poprzez odjęcie podatku VAT od ceny oferty brutto podanej w pkt. III Formularza Ofertowego?</w:t>
      </w:r>
    </w:p>
    <w:p w:rsidR="003A7E76" w:rsidRDefault="003A7E76" w:rsidP="003A7E76">
      <w:pPr>
        <w:pStyle w:val="Bezodstpw"/>
        <w:spacing w:line="276" w:lineRule="auto"/>
        <w:ind w:left="1080"/>
        <w:jc w:val="both"/>
        <w:rPr>
          <w:rFonts w:cs="Arial"/>
          <w:szCs w:val="22"/>
        </w:rPr>
      </w:pPr>
    </w:p>
    <w:p w:rsidR="003A7E76" w:rsidRPr="003A7E76" w:rsidRDefault="003A7E76" w:rsidP="003A7E76">
      <w:pPr>
        <w:pStyle w:val="Bezodstpw"/>
        <w:spacing w:line="276" w:lineRule="auto"/>
        <w:ind w:firstLine="708"/>
        <w:jc w:val="both"/>
        <w:rPr>
          <w:rFonts w:cs="Arial"/>
          <w:szCs w:val="22"/>
        </w:rPr>
      </w:pPr>
      <w:r w:rsidRPr="003A7E76">
        <w:rPr>
          <w:rFonts w:cs="Arial"/>
          <w:szCs w:val="22"/>
        </w:rPr>
        <w:t>Odpowiedź:</w:t>
      </w:r>
    </w:p>
    <w:p w:rsidR="003A7E76" w:rsidRPr="003A7E76" w:rsidRDefault="003A7E76" w:rsidP="003A7E76">
      <w:pPr>
        <w:pStyle w:val="Bezodstpw"/>
        <w:spacing w:line="276" w:lineRule="auto"/>
        <w:ind w:firstLine="708"/>
        <w:jc w:val="both"/>
        <w:rPr>
          <w:rFonts w:cs="Arial"/>
          <w:szCs w:val="22"/>
        </w:rPr>
      </w:pPr>
      <w:r w:rsidRPr="003A7E76">
        <w:rPr>
          <w:rFonts w:cs="Arial"/>
          <w:szCs w:val="22"/>
        </w:rPr>
        <w:t>dot. a) Tak</w:t>
      </w:r>
    </w:p>
    <w:p w:rsidR="003A7E76" w:rsidRPr="003A7E76" w:rsidRDefault="003A7E76" w:rsidP="003A7E76">
      <w:pPr>
        <w:pStyle w:val="Bezodstpw"/>
        <w:spacing w:line="276" w:lineRule="auto"/>
        <w:ind w:firstLine="708"/>
        <w:jc w:val="both"/>
        <w:rPr>
          <w:rFonts w:cs="Arial"/>
          <w:szCs w:val="22"/>
        </w:rPr>
      </w:pPr>
      <w:r w:rsidRPr="003A7E76">
        <w:rPr>
          <w:rFonts w:cs="Arial"/>
          <w:szCs w:val="22"/>
        </w:rPr>
        <w:t>dot. b) Tak</w:t>
      </w:r>
    </w:p>
    <w:p w:rsidR="003A7E76" w:rsidRDefault="003A7E76" w:rsidP="003A7E76">
      <w:pPr>
        <w:pStyle w:val="Bezodstpw"/>
        <w:spacing w:line="276" w:lineRule="auto"/>
        <w:ind w:firstLine="708"/>
        <w:jc w:val="both"/>
        <w:rPr>
          <w:rFonts w:cs="Arial"/>
          <w:szCs w:val="22"/>
        </w:rPr>
      </w:pPr>
      <w:r w:rsidRPr="003A7E76">
        <w:rPr>
          <w:rFonts w:cs="Arial"/>
          <w:szCs w:val="22"/>
        </w:rPr>
        <w:t>dot. c) Tak</w:t>
      </w:r>
    </w:p>
    <w:p w:rsidR="003A7E76" w:rsidRDefault="003A7E76" w:rsidP="003A7E76">
      <w:pPr>
        <w:pStyle w:val="Bezodstpw"/>
        <w:spacing w:line="276" w:lineRule="auto"/>
        <w:jc w:val="both"/>
        <w:rPr>
          <w:rFonts w:cs="Arial"/>
          <w:szCs w:val="22"/>
        </w:rPr>
      </w:pPr>
    </w:p>
    <w:p w:rsidR="003A7E76" w:rsidRDefault="003A7E76" w:rsidP="003A7E76">
      <w:pPr>
        <w:pStyle w:val="Bezodstpw"/>
        <w:numPr>
          <w:ilvl w:val="0"/>
          <w:numId w:val="1"/>
        </w:numPr>
        <w:spacing w:line="276" w:lineRule="auto"/>
        <w:jc w:val="both"/>
        <w:rPr>
          <w:rFonts w:cs="Arial"/>
          <w:szCs w:val="22"/>
        </w:rPr>
      </w:pPr>
      <w:r>
        <w:rPr>
          <w:rFonts w:cs="Arial"/>
          <w:szCs w:val="22"/>
        </w:rPr>
        <w:t xml:space="preserve">Pkt. 3.1.1 SIWZ- poz. 6. Olej sprężarkowy Shell </w:t>
      </w:r>
      <w:proofErr w:type="spellStart"/>
      <w:r>
        <w:rPr>
          <w:rFonts w:cs="Arial"/>
          <w:szCs w:val="22"/>
        </w:rPr>
        <w:t>Corena</w:t>
      </w:r>
      <w:proofErr w:type="spellEnd"/>
      <w:r>
        <w:rPr>
          <w:rFonts w:cs="Arial"/>
          <w:szCs w:val="22"/>
        </w:rPr>
        <w:t xml:space="preserve"> D-46. W związku z tym, iż podany olej został wycofany z rynku, rozumiemy, że w ofercie należy zaproponować aktualny zamiennik wyżej wymienionego oleju, tj. </w:t>
      </w:r>
      <w:r w:rsidRPr="00ED7746">
        <w:rPr>
          <w:rFonts w:cs="Arial"/>
          <w:szCs w:val="22"/>
          <w:u w:val="single"/>
        </w:rPr>
        <w:t xml:space="preserve">Shell </w:t>
      </w:r>
      <w:proofErr w:type="spellStart"/>
      <w:r w:rsidRPr="00ED7746">
        <w:rPr>
          <w:rFonts w:cs="Arial"/>
          <w:szCs w:val="22"/>
          <w:u w:val="single"/>
        </w:rPr>
        <w:t>Corena</w:t>
      </w:r>
      <w:proofErr w:type="spellEnd"/>
      <w:r w:rsidRPr="00ED7746">
        <w:rPr>
          <w:rFonts w:cs="Arial"/>
          <w:szCs w:val="22"/>
          <w:u w:val="single"/>
        </w:rPr>
        <w:t xml:space="preserve"> S2 R46</w:t>
      </w:r>
      <w:r>
        <w:rPr>
          <w:rFonts w:cs="Arial"/>
          <w:szCs w:val="22"/>
        </w:rPr>
        <w:t>.</w:t>
      </w:r>
    </w:p>
    <w:p w:rsidR="003A7E76" w:rsidRDefault="003A7E76" w:rsidP="003A7E76">
      <w:pPr>
        <w:pStyle w:val="Bezodstpw"/>
        <w:spacing w:line="276" w:lineRule="auto"/>
        <w:ind w:left="720"/>
        <w:jc w:val="both"/>
        <w:rPr>
          <w:rFonts w:cs="Arial"/>
          <w:szCs w:val="22"/>
        </w:rPr>
      </w:pPr>
    </w:p>
    <w:p w:rsidR="003A7E76" w:rsidRDefault="003A7E76" w:rsidP="003A7E76">
      <w:pPr>
        <w:pStyle w:val="Bezodstpw"/>
        <w:spacing w:line="276" w:lineRule="auto"/>
        <w:ind w:left="720"/>
        <w:jc w:val="both"/>
        <w:rPr>
          <w:rFonts w:cs="Arial"/>
          <w:szCs w:val="22"/>
        </w:rPr>
      </w:pPr>
      <w:r>
        <w:rPr>
          <w:rFonts w:cs="Arial"/>
          <w:szCs w:val="22"/>
        </w:rPr>
        <w:t>Odpowiedź:</w:t>
      </w:r>
    </w:p>
    <w:p w:rsidR="003A7E76" w:rsidRDefault="00B42F60" w:rsidP="003A7E76">
      <w:pPr>
        <w:pStyle w:val="Bezodstpw"/>
        <w:spacing w:line="276" w:lineRule="auto"/>
        <w:ind w:left="720"/>
        <w:jc w:val="both"/>
        <w:rPr>
          <w:rFonts w:cs="Arial"/>
          <w:szCs w:val="22"/>
        </w:rPr>
      </w:pPr>
      <w:r>
        <w:rPr>
          <w:rFonts w:cs="Arial"/>
          <w:szCs w:val="22"/>
        </w:rPr>
        <w:t>Tak</w:t>
      </w:r>
    </w:p>
    <w:p w:rsidR="003A7E76" w:rsidRDefault="003A7E76" w:rsidP="003A7E76">
      <w:pPr>
        <w:pStyle w:val="Bezodstpw"/>
        <w:spacing w:line="276" w:lineRule="auto"/>
        <w:ind w:left="720"/>
        <w:jc w:val="both"/>
        <w:rPr>
          <w:rFonts w:cs="Arial"/>
          <w:szCs w:val="22"/>
        </w:rPr>
      </w:pPr>
    </w:p>
    <w:p w:rsidR="003A7E76" w:rsidRDefault="003A7E76" w:rsidP="003A7E76">
      <w:pPr>
        <w:pStyle w:val="Bezodstpw"/>
        <w:spacing w:line="276" w:lineRule="auto"/>
        <w:ind w:left="720"/>
        <w:jc w:val="both"/>
        <w:rPr>
          <w:rFonts w:cs="Arial"/>
          <w:szCs w:val="22"/>
        </w:rPr>
      </w:pPr>
    </w:p>
    <w:p w:rsidR="003A7E76" w:rsidRDefault="003A7E76" w:rsidP="003A7E76">
      <w:pPr>
        <w:pStyle w:val="Bezodstpw"/>
        <w:numPr>
          <w:ilvl w:val="0"/>
          <w:numId w:val="1"/>
        </w:numPr>
        <w:spacing w:line="276" w:lineRule="auto"/>
        <w:jc w:val="both"/>
        <w:rPr>
          <w:rFonts w:cs="Arial"/>
          <w:szCs w:val="22"/>
        </w:rPr>
      </w:pPr>
      <w:r>
        <w:rPr>
          <w:rFonts w:cs="Arial"/>
          <w:szCs w:val="22"/>
        </w:rPr>
        <w:t>Czy w produkcie z poz. 2- Olej LUX 10- Zamawiający dopuści opakowania ok. 180 kg?</w:t>
      </w:r>
    </w:p>
    <w:p w:rsidR="003A7E76" w:rsidRDefault="003A7E76" w:rsidP="003A7E76">
      <w:pPr>
        <w:pStyle w:val="Bezodstpw"/>
        <w:spacing w:line="276" w:lineRule="auto"/>
        <w:ind w:left="720"/>
        <w:jc w:val="both"/>
        <w:rPr>
          <w:rFonts w:cs="Arial"/>
          <w:szCs w:val="22"/>
        </w:rPr>
      </w:pPr>
    </w:p>
    <w:p w:rsidR="003A7E76" w:rsidRDefault="003A7E76" w:rsidP="003A7E76">
      <w:pPr>
        <w:pStyle w:val="Bezodstpw"/>
        <w:spacing w:line="276" w:lineRule="auto"/>
        <w:ind w:left="720"/>
        <w:jc w:val="both"/>
        <w:rPr>
          <w:rFonts w:cs="Arial"/>
          <w:szCs w:val="22"/>
        </w:rPr>
      </w:pPr>
      <w:r>
        <w:rPr>
          <w:rFonts w:cs="Arial"/>
          <w:szCs w:val="22"/>
        </w:rPr>
        <w:lastRenderedPageBreak/>
        <w:t>Odpowiedź:</w:t>
      </w:r>
    </w:p>
    <w:p w:rsidR="003A7E76" w:rsidRDefault="00B42F60" w:rsidP="003A7E76">
      <w:pPr>
        <w:pStyle w:val="Bezodstpw"/>
        <w:spacing w:line="276" w:lineRule="auto"/>
        <w:ind w:left="720"/>
        <w:jc w:val="both"/>
        <w:rPr>
          <w:rFonts w:cs="Arial"/>
          <w:szCs w:val="22"/>
        </w:rPr>
      </w:pPr>
      <w:r>
        <w:rPr>
          <w:rFonts w:cs="Arial"/>
          <w:szCs w:val="22"/>
        </w:rPr>
        <w:t>Tak</w:t>
      </w:r>
    </w:p>
    <w:p w:rsidR="003A7E76" w:rsidRDefault="003A7E76" w:rsidP="003A7E76">
      <w:pPr>
        <w:pStyle w:val="Akapitzlist"/>
        <w:rPr>
          <w:rFonts w:cs="Arial"/>
          <w:szCs w:val="22"/>
        </w:rPr>
      </w:pPr>
    </w:p>
    <w:p w:rsidR="003A7E76" w:rsidRDefault="003A7E76" w:rsidP="003A7E76">
      <w:pPr>
        <w:pStyle w:val="Bezodstpw"/>
        <w:numPr>
          <w:ilvl w:val="0"/>
          <w:numId w:val="1"/>
        </w:numPr>
        <w:spacing w:line="276" w:lineRule="auto"/>
        <w:jc w:val="both"/>
        <w:rPr>
          <w:rFonts w:cs="Arial"/>
          <w:szCs w:val="22"/>
        </w:rPr>
      </w:pPr>
      <w:r>
        <w:rPr>
          <w:rFonts w:cs="Arial"/>
          <w:szCs w:val="22"/>
        </w:rPr>
        <w:t xml:space="preserve">§4 ust.1 Umowy- prosimy o doprecyzowanie terminu dostawy poprzez dodanie słowa </w:t>
      </w:r>
      <w:r>
        <w:rPr>
          <w:rFonts w:cs="Arial"/>
          <w:i/>
          <w:szCs w:val="22"/>
        </w:rPr>
        <w:t>”robocze”</w:t>
      </w:r>
      <w:r>
        <w:rPr>
          <w:rFonts w:cs="Arial"/>
          <w:szCs w:val="22"/>
        </w:rPr>
        <w:t>, tj. „</w:t>
      </w:r>
      <w:r>
        <w:rPr>
          <w:rFonts w:cs="Arial"/>
          <w:i/>
          <w:szCs w:val="22"/>
        </w:rPr>
        <w:t xml:space="preserve">Dostawca będzie zobowiązany do dostarczenia przedmiotu zamówienia w terminie do </w:t>
      </w:r>
      <w:r w:rsidRPr="00FC4C19">
        <w:rPr>
          <w:rFonts w:cs="Arial"/>
          <w:i/>
          <w:szCs w:val="22"/>
          <w:u w:val="single"/>
        </w:rPr>
        <w:t>5 (słownie: pięciu) dni roboczych</w:t>
      </w:r>
      <w:r>
        <w:rPr>
          <w:rFonts w:cs="Arial"/>
          <w:i/>
          <w:szCs w:val="22"/>
        </w:rPr>
        <w:t xml:space="preserve"> od daty zgłoszenia zapotrzebowania”.</w:t>
      </w:r>
      <w:r>
        <w:rPr>
          <w:rFonts w:cs="Arial"/>
          <w:szCs w:val="22"/>
        </w:rPr>
        <w:t xml:space="preserve"> </w:t>
      </w:r>
    </w:p>
    <w:p w:rsidR="003A7E76" w:rsidRDefault="003A7E76" w:rsidP="003A7E76">
      <w:pPr>
        <w:pStyle w:val="Bezodstpw"/>
        <w:spacing w:line="276" w:lineRule="auto"/>
        <w:ind w:left="720"/>
        <w:jc w:val="both"/>
        <w:rPr>
          <w:rFonts w:cs="Arial"/>
          <w:szCs w:val="22"/>
        </w:rPr>
      </w:pPr>
    </w:p>
    <w:p w:rsidR="003A7E76" w:rsidRDefault="003A7E76" w:rsidP="003A7E76">
      <w:pPr>
        <w:pStyle w:val="Bezodstpw"/>
        <w:spacing w:line="276" w:lineRule="auto"/>
        <w:ind w:left="720"/>
        <w:jc w:val="both"/>
        <w:rPr>
          <w:rFonts w:cs="Arial"/>
          <w:szCs w:val="22"/>
        </w:rPr>
      </w:pPr>
      <w:r>
        <w:rPr>
          <w:rFonts w:cs="Arial"/>
          <w:szCs w:val="22"/>
        </w:rPr>
        <w:t>Odpowiedź:</w:t>
      </w:r>
    </w:p>
    <w:p w:rsidR="00B42F60" w:rsidRDefault="00B42F60" w:rsidP="003A7E76">
      <w:pPr>
        <w:pStyle w:val="Bezodstpw"/>
        <w:spacing w:line="276" w:lineRule="auto"/>
        <w:ind w:left="720"/>
        <w:jc w:val="both"/>
        <w:rPr>
          <w:rFonts w:cs="Arial"/>
          <w:szCs w:val="22"/>
        </w:rPr>
      </w:pPr>
      <w:r>
        <w:rPr>
          <w:rFonts w:cs="Arial"/>
          <w:szCs w:val="22"/>
        </w:rPr>
        <w:t>Paragraf 4 ust. 1 umowy otrzymuje brzmienie:</w:t>
      </w:r>
    </w:p>
    <w:p w:rsidR="00B42F60" w:rsidRPr="00B42F60" w:rsidRDefault="00B42F60" w:rsidP="00B42F60">
      <w:pPr>
        <w:pStyle w:val="Akapitzlist"/>
        <w:ind w:left="757"/>
        <w:rPr>
          <w:rFonts w:cs="Arial"/>
          <w:b/>
        </w:rPr>
      </w:pPr>
      <w:r>
        <w:rPr>
          <w:rFonts w:cs="Arial"/>
        </w:rPr>
        <w:t>„</w:t>
      </w:r>
      <w:r w:rsidRPr="00B42F60">
        <w:rPr>
          <w:rFonts w:cs="Arial"/>
        </w:rPr>
        <w:t>DOSTAWCA jest zobowiązany dostarczać przedmiot umowy sukcesywnie. Ilość objęta poszczególnymi dostawami ustalana będzie każdorazowo telefonicznie i potwierdzana pisemnie (faks, e-mail) przez Naczelnika Wydziału Zaopatrzenia i Logistyki p. Henryka Bronka lub przez p. Piotra Sokołowskiego – pracownika tegoż wydziału. DOSTAWCA będzie zobowiązany do dostarczenia przedmiotu zamówienia</w:t>
      </w:r>
      <w:r w:rsidRPr="00B42F60">
        <w:rPr>
          <w:rFonts w:cs="Arial"/>
          <w:b/>
        </w:rPr>
        <w:t xml:space="preserve"> </w:t>
      </w:r>
      <w:r w:rsidRPr="00B42F60">
        <w:rPr>
          <w:rFonts w:cs="Arial"/>
        </w:rPr>
        <w:t xml:space="preserve">w terminie do 5 (słownie: pięciu) dni </w:t>
      </w:r>
      <w:r>
        <w:rPr>
          <w:rFonts w:cs="Arial"/>
        </w:rPr>
        <w:t xml:space="preserve">roboczych </w:t>
      </w:r>
      <w:bookmarkStart w:id="0" w:name="_GoBack"/>
      <w:bookmarkEnd w:id="0"/>
      <w:r w:rsidRPr="00B42F60">
        <w:rPr>
          <w:rFonts w:cs="Arial"/>
        </w:rPr>
        <w:t>od daty zgłoszenia zapotrzebowania.</w:t>
      </w:r>
      <w:r>
        <w:rPr>
          <w:rFonts w:cs="Arial"/>
        </w:rPr>
        <w:t>”</w:t>
      </w:r>
    </w:p>
    <w:p w:rsidR="003A7E76" w:rsidRDefault="003A7E76" w:rsidP="003A7E76">
      <w:pPr>
        <w:pStyle w:val="Akapitzlist"/>
        <w:rPr>
          <w:rFonts w:cs="Arial"/>
          <w:szCs w:val="22"/>
        </w:rPr>
      </w:pPr>
    </w:p>
    <w:p w:rsidR="003A7E76" w:rsidRDefault="003A7E76" w:rsidP="003A7E76">
      <w:pPr>
        <w:pStyle w:val="Bezodstpw"/>
        <w:numPr>
          <w:ilvl w:val="0"/>
          <w:numId w:val="1"/>
        </w:numPr>
        <w:spacing w:line="276" w:lineRule="auto"/>
        <w:jc w:val="both"/>
        <w:rPr>
          <w:rFonts w:cs="Arial"/>
          <w:szCs w:val="22"/>
        </w:rPr>
      </w:pPr>
      <w:r w:rsidRPr="00FC4C19">
        <w:rPr>
          <w:rFonts w:cs="Arial"/>
          <w:szCs w:val="22"/>
        </w:rPr>
        <w:t xml:space="preserve">Umowa nie zawiera postanowień odnośnie </w:t>
      </w:r>
      <w:r>
        <w:rPr>
          <w:rFonts w:cs="Arial"/>
          <w:szCs w:val="22"/>
        </w:rPr>
        <w:t>niewykonania lub nienależytego wykonania umowy w skutek siły wyższej. Proponujemy dodanie do treści umowy następujących postanowień, ujętych w odrębną jednostkę redakcyjną:</w:t>
      </w:r>
    </w:p>
    <w:p w:rsidR="003A7E76" w:rsidRDefault="003A7E76" w:rsidP="003A7E76">
      <w:pPr>
        <w:pStyle w:val="Akapitzlist"/>
        <w:rPr>
          <w:rFonts w:cs="Arial"/>
          <w:szCs w:val="22"/>
        </w:rPr>
      </w:pPr>
    </w:p>
    <w:p w:rsidR="003A7E76" w:rsidRDefault="003A7E76" w:rsidP="003A7E76">
      <w:pPr>
        <w:pStyle w:val="Bezodstpw"/>
        <w:spacing w:line="276" w:lineRule="auto"/>
        <w:ind w:left="720"/>
        <w:jc w:val="both"/>
        <w:rPr>
          <w:rFonts w:cs="Arial"/>
          <w:i/>
          <w:szCs w:val="22"/>
        </w:rPr>
      </w:pPr>
      <w:r w:rsidRPr="00FC4C19">
        <w:rPr>
          <w:rFonts w:cs="Arial"/>
          <w:i/>
          <w:szCs w:val="22"/>
        </w:rPr>
        <w:t>„§</w:t>
      </w:r>
      <w:r>
        <w:rPr>
          <w:rFonts w:cs="Arial"/>
          <w:i/>
          <w:szCs w:val="22"/>
        </w:rPr>
        <w:t>…</w:t>
      </w:r>
    </w:p>
    <w:p w:rsidR="003A7E76" w:rsidRPr="00FC4C19" w:rsidRDefault="003A7E76" w:rsidP="003A7E76">
      <w:pPr>
        <w:pStyle w:val="Bezodstpw"/>
        <w:numPr>
          <w:ilvl w:val="0"/>
          <w:numId w:val="3"/>
        </w:numPr>
        <w:spacing w:line="276" w:lineRule="auto"/>
        <w:jc w:val="both"/>
        <w:rPr>
          <w:rFonts w:cs="Arial"/>
          <w:i/>
          <w:szCs w:val="22"/>
        </w:rPr>
      </w:pPr>
      <w:r w:rsidRPr="00FC4C19">
        <w:rPr>
          <w:rFonts w:cs="Arial"/>
          <w:i/>
          <w:szCs w:val="22"/>
        </w:rPr>
        <w:t>Strony ponoszą odpowiedzialność za szkody wyrządzone drugiej stronie na skutek niewykonania lub nienależytego wykonania w całości lub w części zobowiązań wynikających z umowy, za wyjątkiem przypadku siły wyższej.</w:t>
      </w:r>
    </w:p>
    <w:p w:rsidR="003A7E76" w:rsidRPr="00FC4C19" w:rsidRDefault="003A7E76" w:rsidP="003A7E76">
      <w:pPr>
        <w:pStyle w:val="Bezodstpw"/>
        <w:numPr>
          <w:ilvl w:val="0"/>
          <w:numId w:val="3"/>
        </w:numPr>
        <w:spacing w:line="276" w:lineRule="auto"/>
        <w:jc w:val="both"/>
        <w:rPr>
          <w:rFonts w:cs="Arial"/>
          <w:i/>
          <w:szCs w:val="22"/>
        </w:rPr>
      </w:pPr>
      <w:r w:rsidRPr="00FC4C19">
        <w:rPr>
          <w:rFonts w:cs="Arial"/>
          <w:i/>
          <w:szCs w:val="22"/>
        </w:rPr>
        <w:t>Przez siłę wyższą Strony rozumieją okoliczności niezależnie od woli i działań Stron, których powstania żadna ze Stron nie mogła przewidzieć i których powstaniu lub skutkom nie mogła zapobiec przy zachowaniu należytej staranności. Za siłę wyższą mogą być uznane w szczególności takie okoliczności jak: klęski żywiołowe i anormalne warunki pogodowe, katastrofy, mobilizację, embargo, strajki, zamknięcie granic lub istotne utrudnienie ruchu na granicach, wydane przez władze publiczne zakazy transportowe, uniemożliwiające całkowite lub częściowe wykonanie umowy. Strona dotknięta działaniem siły wyższej jest zobowiązana do powiadomienia  o tym fakcie w ciągu 7 dni roboczych drugiej Strony pod rygorem braku możliwości powoływania się na klauzulę siły wyższej. Strony zobowiązują się do podjęcia niezwłocznych działań, mających na celu określenie sposobu rozwiązania zaistniałej sytuacji w celu wykonania postanowień umowy.</w:t>
      </w:r>
    </w:p>
    <w:p w:rsidR="003A7E76" w:rsidRPr="00FC4C19" w:rsidRDefault="003A7E76" w:rsidP="003A7E76">
      <w:pPr>
        <w:pStyle w:val="Bezodstpw"/>
        <w:numPr>
          <w:ilvl w:val="0"/>
          <w:numId w:val="3"/>
        </w:numPr>
        <w:spacing w:line="276" w:lineRule="auto"/>
        <w:jc w:val="both"/>
        <w:rPr>
          <w:rFonts w:cs="Arial"/>
          <w:i/>
          <w:szCs w:val="22"/>
        </w:rPr>
      </w:pPr>
      <w:r w:rsidRPr="00FC4C19">
        <w:rPr>
          <w:rFonts w:cs="Arial"/>
          <w:i/>
          <w:szCs w:val="22"/>
        </w:rPr>
        <w:t>Jeśli okoliczności siły wyższej będą trwać nieprzerwanie dłużej niż dwa miesiące, to każda ze Stron może rozwiązać niniejszą umowę z zachowaniem 14 dniowego okresu wypowiedzenia nie ponosząc odpowiedzialności z tytułu rozwiązania umowy.”</w:t>
      </w:r>
    </w:p>
    <w:p w:rsidR="008E1D73" w:rsidRDefault="008E1D73"/>
    <w:p w:rsidR="003A7E76" w:rsidRPr="003A7E76" w:rsidRDefault="003A7E76" w:rsidP="003A7E76">
      <w:pPr>
        <w:pStyle w:val="Tekstpodstawowy"/>
        <w:tabs>
          <w:tab w:val="left" w:pos="708"/>
          <w:tab w:val="left" w:pos="1416"/>
          <w:tab w:val="left" w:pos="2124"/>
          <w:tab w:val="left" w:pos="2832"/>
          <w:tab w:val="left" w:pos="3540"/>
          <w:tab w:val="left" w:pos="4248"/>
          <w:tab w:val="left" w:pos="4956"/>
          <w:tab w:val="left" w:pos="5664"/>
          <w:tab w:val="left" w:pos="6430"/>
        </w:tabs>
        <w:spacing w:line="276" w:lineRule="auto"/>
        <w:rPr>
          <w:rFonts w:ascii="Arial" w:hAnsi="Arial" w:cs="Arial"/>
          <w:sz w:val="22"/>
          <w:szCs w:val="22"/>
        </w:rPr>
      </w:pPr>
      <w:r>
        <w:rPr>
          <w:rFonts w:ascii="Arial" w:hAnsi="Arial" w:cs="Arial"/>
          <w:sz w:val="22"/>
          <w:szCs w:val="22"/>
        </w:rPr>
        <w:tab/>
      </w:r>
      <w:r w:rsidRPr="003A7E76">
        <w:rPr>
          <w:rFonts w:ascii="Arial" w:hAnsi="Arial" w:cs="Arial"/>
          <w:sz w:val="22"/>
          <w:szCs w:val="22"/>
        </w:rPr>
        <w:t>Odpowiedź:</w:t>
      </w:r>
    </w:p>
    <w:p w:rsidR="003A7E76" w:rsidRPr="003A7E76" w:rsidRDefault="003A7E76" w:rsidP="003A7E76">
      <w:pPr>
        <w:pStyle w:val="Tekstpodstawowy"/>
        <w:tabs>
          <w:tab w:val="left" w:pos="708"/>
          <w:tab w:val="left" w:pos="1416"/>
          <w:tab w:val="left" w:pos="2124"/>
          <w:tab w:val="left" w:pos="2832"/>
          <w:tab w:val="left" w:pos="3540"/>
          <w:tab w:val="left" w:pos="4248"/>
          <w:tab w:val="left" w:pos="4956"/>
          <w:tab w:val="left" w:pos="5664"/>
          <w:tab w:val="left" w:pos="6430"/>
        </w:tabs>
        <w:spacing w:line="276" w:lineRule="auto"/>
        <w:ind w:left="708"/>
        <w:jc w:val="both"/>
        <w:rPr>
          <w:rFonts w:ascii="Arial" w:hAnsi="Arial" w:cs="Arial"/>
          <w:sz w:val="22"/>
          <w:szCs w:val="22"/>
        </w:rPr>
      </w:pPr>
      <w:r w:rsidRPr="003A7E76">
        <w:rPr>
          <w:rFonts w:ascii="Arial" w:hAnsi="Arial" w:cs="Arial"/>
          <w:sz w:val="22"/>
          <w:szCs w:val="22"/>
        </w:rPr>
        <w:t>Nie ma potrzeby takiej regulacji, ani uzasadnienia dla proponowanej wyżej definicji siły wyższej. Odbiega ona od tego, co w prawie rozumie się przez siłę wyższą. Zarazem z istoty pojęcia siły wyższej wynika, że jest to okoliczność, za którą strona nie odpowiada.</w:t>
      </w:r>
    </w:p>
    <w:p w:rsidR="003A7E76" w:rsidRDefault="003A7E76"/>
    <w:sectPr w:rsidR="003A7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A3159"/>
    <w:multiLevelType w:val="hybridMultilevel"/>
    <w:tmpl w:val="E0A48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032C22"/>
    <w:multiLevelType w:val="hybridMultilevel"/>
    <w:tmpl w:val="AB00C908"/>
    <w:lvl w:ilvl="0" w:tplc="502649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4F302DBF"/>
    <w:multiLevelType w:val="hybridMultilevel"/>
    <w:tmpl w:val="6942A5D4"/>
    <w:lvl w:ilvl="0" w:tplc="1C7895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637E1EBA"/>
    <w:multiLevelType w:val="hybridMultilevel"/>
    <w:tmpl w:val="14F09D40"/>
    <w:lvl w:ilvl="0" w:tplc="4F56E678">
      <w:start w:val="1"/>
      <w:numFmt w:val="decimal"/>
      <w:lvlText w:val="%1."/>
      <w:lvlJc w:val="left"/>
      <w:pPr>
        <w:tabs>
          <w:tab w:val="num" w:pos="757"/>
        </w:tabs>
        <w:ind w:left="75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C5"/>
    <w:rsid w:val="002E4A34"/>
    <w:rsid w:val="003A7E76"/>
    <w:rsid w:val="008E1D73"/>
    <w:rsid w:val="00B42F60"/>
    <w:rsid w:val="00BD19C5"/>
    <w:rsid w:val="00BE32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0110D-7062-4305-9510-21FBB7C2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3A7E76"/>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semiHidden/>
    <w:rsid w:val="003A7E76"/>
    <w:rPr>
      <w:rFonts w:ascii="Times New Roman" w:eastAsia="Times New Roman" w:hAnsi="Times New Roman" w:cs="Times New Roman"/>
      <w:sz w:val="24"/>
      <w:szCs w:val="24"/>
      <w:lang w:eastAsia="ar-SA"/>
    </w:rPr>
  </w:style>
  <w:style w:type="paragraph" w:customStyle="1" w:styleId="western">
    <w:name w:val="western"/>
    <w:basedOn w:val="Normalny"/>
    <w:uiPriority w:val="99"/>
    <w:rsid w:val="003A7E76"/>
    <w:pPr>
      <w:spacing w:before="100" w:beforeAutospacing="1" w:after="100" w:afterAutospacing="1"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3A7E76"/>
    <w:pPr>
      <w:spacing w:after="0" w:line="240" w:lineRule="auto"/>
      <w:ind w:left="720"/>
      <w:contextualSpacing/>
    </w:pPr>
    <w:rPr>
      <w:rFonts w:ascii="Arial" w:eastAsia="Times New Roman" w:hAnsi="Arial" w:cs="Times New Roman"/>
      <w:szCs w:val="20"/>
      <w:lang w:eastAsia="pl-PL"/>
    </w:rPr>
  </w:style>
  <w:style w:type="paragraph" w:styleId="Bezodstpw">
    <w:name w:val="No Spacing"/>
    <w:uiPriority w:val="1"/>
    <w:qFormat/>
    <w:rsid w:val="003A7E76"/>
    <w:pPr>
      <w:spacing w:after="0" w:line="240" w:lineRule="auto"/>
    </w:pPr>
    <w:rPr>
      <w:rFonts w:ascii="Arial" w:eastAsia="Times New Roman" w:hAnsi="Arial" w:cs="Times New Roman"/>
      <w:szCs w:val="20"/>
      <w:lang w:eastAsia="pl-PL"/>
    </w:rPr>
  </w:style>
  <w:style w:type="paragraph" w:styleId="Tekstdymka">
    <w:name w:val="Balloon Text"/>
    <w:basedOn w:val="Normalny"/>
    <w:link w:val="TekstdymkaZnak"/>
    <w:uiPriority w:val="99"/>
    <w:semiHidden/>
    <w:unhideWhenUsed/>
    <w:rsid w:val="00BE32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3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856642">
      <w:bodyDiv w:val="1"/>
      <w:marLeft w:val="0"/>
      <w:marRight w:val="0"/>
      <w:marTop w:val="0"/>
      <w:marBottom w:val="0"/>
      <w:divBdr>
        <w:top w:val="none" w:sz="0" w:space="0" w:color="auto"/>
        <w:left w:val="none" w:sz="0" w:space="0" w:color="auto"/>
        <w:bottom w:val="none" w:sz="0" w:space="0" w:color="auto"/>
        <w:right w:val="none" w:sz="0" w:space="0" w:color="auto"/>
      </w:divBdr>
    </w:div>
    <w:div w:id="1789426130">
      <w:bodyDiv w:val="1"/>
      <w:marLeft w:val="0"/>
      <w:marRight w:val="0"/>
      <w:marTop w:val="0"/>
      <w:marBottom w:val="0"/>
      <w:divBdr>
        <w:top w:val="none" w:sz="0" w:space="0" w:color="auto"/>
        <w:left w:val="none" w:sz="0" w:space="0" w:color="auto"/>
        <w:bottom w:val="none" w:sz="0" w:space="0" w:color="auto"/>
        <w:right w:val="none" w:sz="0" w:space="0" w:color="auto"/>
      </w:divBdr>
    </w:div>
    <w:div w:id="20585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636</Words>
  <Characters>3816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WarsztatIT SKM</dc:creator>
  <cp:keywords/>
  <dc:description/>
  <cp:lastModifiedBy>WarsztatIT SKM</cp:lastModifiedBy>
  <cp:revision>5</cp:revision>
  <cp:lastPrinted>2014-03-28T11:20:00Z</cp:lastPrinted>
  <dcterms:created xsi:type="dcterms:W3CDTF">2014-03-28T10:59:00Z</dcterms:created>
  <dcterms:modified xsi:type="dcterms:W3CDTF">2014-03-28T11:29:00Z</dcterms:modified>
</cp:coreProperties>
</file>