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E9" w:rsidRDefault="00E541E9" w:rsidP="00A64D27">
      <w:pPr>
        <w:spacing w:after="0"/>
        <w:jc w:val="center"/>
        <w:rPr>
          <w:rFonts w:ascii="Arial" w:hAnsi="Arial" w:cs="Arial"/>
          <w:b/>
          <w:i/>
        </w:rPr>
      </w:pPr>
    </w:p>
    <w:p w:rsidR="00E541E9" w:rsidRDefault="00E541E9" w:rsidP="00E541E9">
      <w:pPr>
        <w:spacing w:after="0"/>
        <w:rPr>
          <w:rFonts w:ascii="Arial" w:hAnsi="Arial" w:cs="Arial"/>
          <w:b/>
          <w:u w:val="single"/>
        </w:rPr>
      </w:pPr>
    </w:p>
    <w:p w:rsidR="00E541E9" w:rsidRDefault="00E541E9" w:rsidP="00E541E9">
      <w:pPr>
        <w:spacing w:after="0"/>
        <w:rPr>
          <w:rFonts w:ascii="Arial" w:hAnsi="Arial" w:cs="Arial"/>
          <w:b/>
          <w:u w:val="single"/>
        </w:rPr>
      </w:pPr>
    </w:p>
    <w:p w:rsidR="00E541E9" w:rsidRDefault="002C6B23" w:rsidP="00601FD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Dot.  postępowania  o udzielenie zamówienia publicznego na </w:t>
      </w:r>
      <w:r w:rsidR="00601FD3" w:rsidRPr="00601FD3">
        <w:rPr>
          <w:rFonts w:ascii="Arial" w:hAnsi="Arial" w:cs="Arial"/>
          <w:b/>
          <w:u w:val="single"/>
        </w:rPr>
        <w:t>wykonanie naprawy poziomu P4 z poprawą funkcjonalności elektrycznych zespołów trakcyjnych - znak postępowania:SKMMS.214.54.17</w:t>
      </w:r>
    </w:p>
    <w:p w:rsidR="00601FD3" w:rsidRDefault="00601FD3" w:rsidP="00E541E9">
      <w:pPr>
        <w:spacing w:after="0"/>
        <w:rPr>
          <w:rFonts w:ascii="Arial" w:hAnsi="Arial" w:cs="Arial"/>
          <w:b/>
          <w:u w:val="single"/>
        </w:rPr>
      </w:pPr>
    </w:p>
    <w:p w:rsidR="00E541E9" w:rsidRDefault="00E541E9" w:rsidP="00E541E9">
      <w:pPr>
        <w:pStyle w:val="Trescpola"/>
        <w:spacing w:line="360" w:lineRule="auto"/>
        <w:jc w:val="both"/>
        <w:rPr>
          <w:b w:val="0"/>
          <w:sz w:val="22"/>
          <w:szCs w:val="22"/>
        </w:rPr>
      </w:pPr>
      <w:r w:rsidRPr="00E541E9">
        <w:rPr>
          <w:rFonts w:ascii="Arial" w:eastAsiaTheme="minorEastAsia" w:hAnsi="Arial" w:cs="Arial"/>
          <w:sz w:val="22"/>
          <w:szCs w:val="22"/>
        </w:rPr>
        <w:t xml:space="preserve">Zamawiający udziela odpowiedzi na </w:t>
      </w:r>
      <w:r w:rsidR="00601FD3">
        <w:rPr>
          <w:rFonts w:ascii="Arial" w:eastAsiaTheme="minorEastAsia" w:hAnsi="Arial" w:cs="Arial"/>
          <w:sz w:val="22"/>
          <w:szCs w:val="22"/>
        </w:rPr>
        <w:t>pytania</w:t>
      </w:r>
      <w:r w:rsidRPr="00E541E9">
        <w:rPr>
          <w:rFonts w:ascii="Arial" w:eastAsiaTheme="minorEastAsia" w:hAnsi="Arial" w:cs="Arial"/>
          <w:sz w:val="22"/>
          <w:szCs w:val="22"/>
        </w:rPr>
        <w:t>, które wpłynęły w toku postępowania:</w:t>
      </w:r>
    </w:p>
    <w:p w:rsidR="00E541E9" w:rsidRDefault="00E541E9" w:rsidP="00E541E9">
      <w:pPr>
        <w:spacing w:after="0"/>
        <w:rPr>
          <w:rFonts w:ascii="Arial" w:hAnsi="Arial" w:cs="Arial"/>
          <w:b/>
          <w:u w:val="single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umowy § 6 </w:t>
      </w:r>
    </w:p>
    <w:p w:rsidR="00980009" w:rsidRDefault="00980009" w:rsidP="00980009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Zgodnie z §6 ust. 2 projektu umowy wynagrodzenie określone w §6 ust. 1 nie będzie podlegać zmianie przez cały czas realizacji umowy i obejmuje wszelkie koszty związane bezpośrednio lub pośrednio z realizacją umowy.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drugiej strony, zgodnie z §2 ust. 1 projektu umowy przedmiotem umowy jest wykonanie naprawy P4 z poprawą funkcjonalności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wg DSU z zastrzeżeniem, że szczegółowy opis przedmiotu umowy stanowi załącznik nr 1 do umowy.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projekcie umowy brak jest jakichkolwiek postanowień w zakresie obowiązku Wykonawcy wykonania prac nie wchodzących w zakres przeglądu P4 określonych w DSU oraz prac innych niż wymienione w załączniku nr 1.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 powyższego wynika, iż wynagrodzenie określone w §6 ust 1 należy się Wykonawcy za prawidłowe wykonanie prac wchodzących w zakres przeglądu P4 (zgodnie z DSU) i prac wymienionych w załączniku nr 1. W tej sytuacji, jeżeli w trakcie wykonywania umowy ujawni się potrzeba wykonania prac innych niż wchodzące w zakres przeglądu P4 lub wymienione w załączniku nr 1 (prac dodatkowych) – to na Wykonawcy (zgodnie z projektem umowy stanowiącym załącznik do SIWZ) nie ciąży obowiązek ich wykonania, tak jak na Zamawiającym nie ciąży obowiązek zapłaty za takie prace. W takim przypadku obowiązek wykonania prac dodatkowych może wynikać jedynie z odrębnie zawartej umowy, w której zostanie określony zakres prac dodatkowych zamawianych przez Zamawiającego, cena za wykonanie tych prac przez Wykonawcę i termin wykonania prac. W przypadku niezamówienia wykonania prac dodatkowych przez Zamawiającego u Wykonawcy odbiorowi podlegać będą prace określone w projekcie umowy stanowiącym załącznik do SIWZ i , w przypadku dokonania ich odbioru, prace te zgodnie z umowa zostaną opłacone.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Prosimy o potwierdzenie poprawności przedstawionego wyżej naszego rozumienia zakresu prac objętych umową </w:t>
      </w:r>
      <w:r>
        <w:rPr>
          <w:sz w:val="24"/>
          <w:szCs w:val="24"/>
        </w:rPr>
        <w:t>lub o wskazanie w projekcie umowy postanowień, z których miałby wynikać obowiązek Wykonawcy ewentualnego wykonania prac innych niż wchodzące w zakres przeglądu P4 (zgodnie z DSU) oraz prac wymienionych w załączniku nr 1.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bookmarkStart w:id="0" w:name="_Hlk501712760"/>
      <w:r>
        <w:rPr>
          <w:sz w:val="24"/>
          <w:szCs w:val="24"/>
        </w:rPr>
        <w:t>Odpowiedź Zamawiającego:</w:t>
      </w:r>
    </w:p>
    <w:p w:rsidR="00980009" w:rsidRDefault="007A7FF4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 weryfikacji przez Komisarza Odbiorczego i zatwierdzeniu wykonania dodatkowych prac nie ujętych w</w:t>
      </w:r>
      <w:r w:rsidR="00083A0E">
        <w:rPr>
          <w:sz w:val="24"/>
          <w:szCs w:val="24"/>
        </w:rPr>
        <w:t xml:space="preserve"> umowie (</w:t>
      </w:r>
      <w:r>
        <w:rPr>
          <w:sz w:val="24"/>
          <w:szCs w:val="24"/>
        </w:rPr>
        <w:t xml:space="preserve"> DSU i załączniku nr 1</w:t>
      </w:r>
      <w:r w:rsidR="00083A0E">
        <w:rPr>
          <w:sz w:val="24"/>
          <w:szCs w:val="24"/>
        </w:rPr>
        <w:t xml:space="preserve"> ), zlecenie ich wykonania będzie potwierdzone osobnym zamówieniem przez zlecającego.</w:t>
      </w:r>
    </w:p>
    <w:bookmarkEnd w:id="0"/>
    <w:p w:rsidR="00980009" w:rsidRDefault="00980009" w:rsidP="009800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lastRenderedPageBreak/>
        <w:t>Projekt umowy § 6 ust. 2 w zw. z par. 4 ust. 9.</w:t>
      </w:r>
    </w:p>
    <w:p w:rsidR="00980009" w:rsidRDefault="00980009" w:rsidP="00980009">
      <w:pPr>
        <w:ind w:left="36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Zgodnie z par. 6 ust. 2 wynagrodzenie określone w par. 6 ust. 1 ma obejmować m.in. „koszty nowych części i urządzeń”. W kontekście tego postanowienia prosimy o potwierdzenie, że części i podzespoły dostarczane przez Zamawiającego na podstawie par. 4 ust. 9,  które przecież „zostaną użyte lub zamontowane w </w:t>
      </w:r>
      <w:proofErr w:type="spellStart"/>
      <w:r>
        <w:rPr>
          <w:color w:val="000000"/>
          <w:sz w:val="24"/>
          <w:szCs w:val="24"/>
          <w:lang w:eastAsia="en-US"/>
        </w:rPr>
        <w:t>ezt</w:t>
      </w:r>
      <w:proofErr w:type="spellEnd"/>
      <w:r>
        <w:rPr>
          <w:color w:val="000000"/>
          <w:sz w:val="24"/>
          <w:szCs w:val="24"/>
          <w:lang w:eastAsia="en-US"/>
        </w:rPr>
        <w:t xml:space="preserve"> w ramach wykonywanej naprawy” – </w:t>
      </w:r>
      <w:r>
        <w:rPr>
          <w:b/>
          <w:color w:val="000000"/>
          <w:sz w:val="24"/>
          <w:szCs w:val="24"/>
          <w:lang w:eastAsia="en-US"/>
        </w:rPr>
        <w:t>dostarczane będą na koszt Zamawiającego niezależnie od kwoty wynagrodzenia Wykonawcy określonej w par. 6 ust 1.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E07008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 dostarczenia dodatkowych </w:t>
      </w:r>
      <w:r w:rsidR="00F912F1">
        <w:rPr>
          <w:sz w:val="24"/>
          <w:szCs w:val="24"/>
        </w:rPr>
        <w:t>podzespołów leży po stronie zamawiającego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32" w:firstLine="0"/>
        <w:rPr>
          <w:rStyle w:val="FontStyle48"/>
          <w:b w:val="0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SIWZ pkt IV oraz projekt umowy § 3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najnowszą „ścieżkę postępowania”, którą UTK ogłosiło 3 kwietnia 2017r. i 7 kwietnia 2017r., przy dopuszczaniu pojazdów, w których zostają wprowadzane zmiany może być konieczne uzyskanie nowego zezwolenia dla tych pojazdów, bądź wystąpienie z wnioskiem o odstąpienie uzyskania zezwolenia. W każdym z tych przypadków, UTK ma 2 miesiące na rozpatrzenie wniosku – czas wykonania umowy powinien to uwzględniać. Analizując „proces zarządzania modyfikacjami” będzie się to wiązało z odstępstwem od dokumentacji oraz będzie miało wpływ na zasadnicze cechy konstrukcyjne, co wiąże się z uzyskaniem pośredniego certyfikatu weryfikacji WE od jednostki upoważnionej, co też odpowiednio wydłuża czas wykonania umowy. 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84" w:firstLine="0"/>
        <w:rPr>
          <w:rStyle w:val="FontStyle48"/>
          <w:b w:val="0"/>
        </w:rPr>
      </w:pPr>
      <w:r>
        <w:rPr>
          <w:rStyle w:val="FontStyle48"/>
        </w:rPr>
        <w:t>Z uwagi na czas dokonywania zatwierdzeń przez UTK wnioskujemy o uwzględnienie terminów, na które Wykonawca nie ma wpływu i zmianę terminu wykonania zamówienia poprzez wydłużenie terminu naprawy dla pierwszych pojazdów z danej serii i z danego zadania  (gdyż każde zadanie może wykonywać inny wykonawca) odpowiednio do terminów:</w:t>
      </w:r>
    </w:p>
    <w:p w:rsidR="00980009" w:rsidRDefault="00980009" w:rsidP="00980009">
      <w:pPr>
        <w:pStyle w:val="Style20"/>
        <w:widowControl/>
        <w:numPr>
          <w:ilvl w:val="0"/>
          <w:numId w:val="3"/>
        </w:numPr>
        <w:tabs>
          <w:tab w:val="left" w:pos="235"/>
        </w:tabs>
        <w:spacing w:line="240" w:lineRule="auto"/>
        <w:rPr>
          <w:rStyle w:val="FontStyle48"/>
          <w:b w:val="0"/>
          <w:bCs w:val="0"/>
        </w:rPr>
      </w:pPr>
      <w:r>
        <w:rPr>
          <w:rStyle w:val="FontStyle48"/>
        </w:rPr>
        <w:t>dla EN71 do 80 dni roboczych</w:t>
      </w:r>
    </w:p>
    <w:p w:rsidR="00980009" w:rsidRDefault="00980009" w:rsidP="00980009">
      <w:pPr>
        <w:pStyle w:val="Style20"/>
        <w:widowControl/>
        <w:numPr>
          <w:ilvl w:val="0"/>
          <w:numId w:val="3"/>
        </w:numPr>
        <w:tabs>
          <w:tab w:val="left" w:pos="235"/>
        </w:tabs>
        <w:spacing w:line="240" w:lineRule="auto"/>
        <w:rPr>
          <w:rStyle w:val="FontStyle48"/>
          <w:b w:val="0"/>
          <w:bCs w:val="0"/>
        </w:rPr>
      </w:pPr>
      <w:r>
        <w:rPr>
          <w:rStyle w:val="FontStyle48"/>
        </w:rPr>
        <w:t xml:space="preserve">dla EN57 do 70 dni roboczych, 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84" w:firstLine="0"/>
        <w:rPr>
          <w:rStyle w:val="FontStyle48"/>
        </w:rPr>
      </w:pPr>
      <w:r>
        <w:rPr>
          <w:rStyle w:val="FontStyle48"/>
        </w:rPr>
        <w:t>gdyż obecny termin może okazać się niemożliwy do zrealizowania.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84" w:firstLine="0"/>
        <w:rPr>
          <w:rStyle w:val="FontStyle48"/>
        </w:rPr>
      </w:pPr>
      <w:r>
        <w:rPr>
          <w:rStyle w:val="FontStyle48"/>
        </w:rPr>
        <w:t xml:space="preserve">Dotyczy </w:t>
      </w:r>
      <w:proofErr w:type="spellStart"/>
      <w:r>
        <w:rPr>
          <w:rStyle w:val="FontStyle48"/>
        </w:rPr>
        <w:t>ezt</w:t>
      </w:r>
      <w:proofErr w:type="spellEnd"/>
      <w:r>
        <w:rPr>
          <w:rStyle w:val="FontStyle48"/>
        </w:rPr>
        <w:t>: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84" w:firstLine="0"/>
        <w:rPr>
          <w:rStyle w:val="FontStyle48"/>
        </w:rPr>
      </w:pPr>
      <w:r>
        <w:rPr>
          <w:rStyle w:val="FontStyle48"/>
        </w:rPr>
        <w:t>zadanie nr I – EN71-035 i EN57-1115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84" w:firstLine="0"/>
        <w:rPr>
          <w:rStyle w:val="FontStyle48"/>
        </w:rPr>
      </w:pPr>
      <w:r>
        <w:rPr>
          <w:rStyle w:val="FontStyle48"/>
        </w:rPr>
        <w:t>zadanie nr II –EN57-1757</w:t>
      </w:r>
    </w:p>
    <w:p w:rsidR="00980009" w:rsidRDefault="00980009" w:rsidP="00980009">
      <w:pPr>
        <w:pStyle w:val="Style20"/>
        <w:widowControl/>
        <w:tabs>
          <w:tab w:val="left" w:pos="235"/>
        </w:tabs>
        <w:spacing w:line="240" w:lineRule="auto"/>
        <w:ind w:left="284" w:firstLine="0"/>
        <w:rPr>
          <w:rStyle w:val="FontStyle48"/>
          <w:b w:val="0"/>
          <w:bCs w:val="0"/>
        </w:rPr>
      </w:pPr>
      <w:r>
        <w:rPr>
          <w:rStyle w:val="FontStyle48"/>
        </w:rPr>
        <w:t>zadanie nr III – EN71-047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Odpowiedź Zamawiającego:</w:t>
      </w:r>
    </w:p>
    <w:p w:rsidR="00980009" w:rsidRDefault="00746D13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Zgoda na zwiększenie proponowanych terminów napraw.</w:t>
      </w:r>
    </w:p>
    <w:p w:rsidR="00980009" w:rsidRDefault="00980009" w:rsidP="00980009">
      <w:pPr>
        <w:pStyle w:val="Akapitzlist"/>
        <w:ind w:left="284"/>
        <w:rPr>
          <w:rFonts w:ascii="Calibri" w:hAnsi="Calibri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980009" w:rsidRDefault="00980009" w:rsidP="00980009">
      <w:pPr>
        <w:pStyle w:val="Akapitzlist"/>
        <w:spacing w:line="254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Prosimy o potwierdzenie, że zapisy „</w:t>
      </w:r>
      <w:r>
        <w:rPr>
          <w:rFonts w:ascii="Times New Roman" w:hAnsi="Times New Roman"/>
          <w:bCs/>
          <w:i/>
          <w:sz w:val="24"/>
          <w:szCs w:val="24"/>
        </w:rPr>
        <w:t xml:space="preserve">Wykonawca oznakuje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ezt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. Oznakowanie pojazdu musi spełniać zapisy ROZPORZĄDZENIA MINISTRA TRANSPORTU, BUDOWNICTWA I GOSPODARKI MORSKIEJ z dnia 3 stycznia 2013 r. z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zm.  w sprawie sposobu prowadzenia rejestru oraz sposobu oznakowania pojazdów kolejowych</w:t>
      </w:r>
      <w:r>
        <w:rPr>
          <w:rFonts w:ascii="Times New Roman" w:hAnsi="Times New Roman"/>
          <w:bCs/>
          <w:sz w:val="24"/>
          <w:szCs w:val="24"/>
        </w:rPr>
        <w:t>”, dotyczą jedynie oznakowania pojazdów bez konieczności montażu urządzeń informacji pasażerskiej m.in. tablic zewnętrznych bocznych i czołowych.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F912F1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oczekuje oznakowania zgodnego z przytoczonym rozporządzeniem. </w:t>
      </w:r>
    </w:p>
    <w:p w:rsidR="00980009" w:rsidRDefault="00980009" w:rsidP="00980009">
      <w:pPr>
        <w:pStyle w:val="Akapitzlist"/>
        <w:spacing w:line="254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Projekt umowy </w:t>
      </w:r>
      <w:r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pkt 2 oraz § 4 pkt 1</w:t>
      </w:r>
    </w:p>
    <w:p w:rsidR="00980009" w:rsidRDefault="00980009" w:rsidP="00980009">
      <w:pPr>
        <w:pStyle w:val="Akapitzlist"/>
        <w:spacing w:line="254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Zgodnie z </w:t>
      </w:r>
      <w:r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 2 projektu umowy Zamawiający jest zobowiązany do uzyskania wymaganych prawem i niniejszą Umową uzgodnień, decyzji, świadectw, certyfikatów, atestów itp., zaś zgodnie z § 4 pkt 1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Wykonawca zobowiązuje się wykonać Umowę zgodnie z warunkami wynikającymi z właściwych przepisów prawa. Wykonawca nie jest w stanie spełnić w/w warunków, jeżeli Zamawiający nie dostarczy następujących dokumentów:</w:t>
      </w:r>
    </w:p>
    <w:p w:rsidR="00980009" w:rsidRDefault="00980009" w:rsidP="009800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deklaracji zgodności składnika interoperacyjności WE  oraz certyfikatów z jednostek notyfikowanych dla przycisków otwierających/zamykających drzwi;</w:t>
      </w:r>
    </w:p>
    <w:p w:rsidR="00980009" w:rsidRDefault="00980009" w:rsidP="009800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deklaracji zgodności składnika interoperacyjności WE  oraz certyfikatów z jednostek notyfikowanych dla tablic wewnętrznych i zewnętrznych oraz atestów niepalności (PN-EN 45545). </w:t>
      </w:r>
    </w:p>
    <w:p w:rsidR="00980009" w:rsidRDefault="00980009" w:rsidP="009800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Prosimy o potwierdzenie, że Zamawiający dostarczy podzespoły wraz ze wszystkimi powyższymi dokumentami.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E07008" w:rsidP="00321978">
      <w:pPr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Przyciski</w:t>
      </w:r>
      <w:r w:rsidR="00B72435">
        <w:rPr>
          <w:sz w:val="24"/>
          <w:szCs w:val="24"/>
        </w:rPr>
        <w:t xml:space="preserve"> </w:t>
      </w:r>
      <w:r w:rsidR="007605A7">
        <w:rPr>
          <w:sz w:val="24"/>
          <w:szCs w:val="24"/>
        </w:rPr>
        <w:t>otwierające zewnętrzne TSL ESCHA 8703103  5055/150829</w:t>
      </w:r>
      <w:r w:rsidR="00F912F1">
        <w:rPr>
          <w:sz w:val="24"/>
          <w:szCs w:val="24"/>
        </w:rPr>
        <w:t xml:space="preserve">. </w:t>
      </w:r>
    </w:p>
    <w:p w:rsidR="00321978" w:rsidRDefault="00321978" w:rsidP="00321978">
      <w:pPr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>Deklaracja Zgodności PIXEL z dnia 30 listopada 2017 r.</w:t>
      </w:r>
    </w:p>
    <w:p w:rsidR="00980009" w:rsidRDefault="00980009" w:rsidP="00980009">
      <w:pPr>
        <w:pStyle w:val="Akapitzlist"/>
        <w:spacing w:line="254" w:lineRule="auto"/>
        <w:ind w:left="426"/>
        <w:rPr>
          <w:rFonts w:ascii="Times New Roman" w:hAnsi="Times New Roman"/>
          <w:bCs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980009" w:rsidRDefault="00980009" w:rsidP="00980009">
      <w:pPr>
        <w:pStyle w:val="Akapitzlist"/>
        <w:spacing w:line="254" w:lineRule="auto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Prosimy o potwierdzenie, że na </w:t>
      </w:r>
      <w:proofErr w:type="spellStart"/>
      <w:r>
        <w:rPr>
          <w:rFonts w:ascii="Times New Roman" w:hAnsi="Times New Roman"/>
          <w:bCs/>
          <w:sz w:val="24"/>
          <w:szCs w:val="24"/>
        </w:rPr>
        <w:t>ezt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przewidzianych do naprawy nie występują miejsca dla niepełnosprawnych oraz że te pojazdy nie posiadają ramp dla niepełnosprawnych.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152D3B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Pojazdy posiadają </w:t>
      </w:r>
      <w:r w:rsidR="00EB07BF">
        <w:rPr>
          <w:sz w:val="24"/>
          <w:szCs w:val="24"/>
        </w:rPr>
        <w:t>ramp</w:t>
      </w:r>
      <w:r w:rsidR="00F912F1">
        <w:rPr>
          <w:sz w:val="24"/>
          <w:szCs w:val="24"/>
        </w:rPr>
        <w:t xml:space="preserve">y </w:t>
      </w:r>
      <w:r w:rsidR="00CC2658">
        <w:rPr>
          <w:sz w:val="24"/>
          <w:szCs w:val="24"/>
        </w:rPr>
        <w:t xml:space="preserve">np. </w:t>
      </w:r>
      <w:r w:rsidR="00F912F1">
        <w:rPr>
          <w:sz w:val="24"/>
          <w:szCs w:val="24"/>
        </w:rPr>
        <w:t>które umożliwiają wjazd z wysokości peronu 760 i 960 oraz</w:t>
      </w:r>
      <w:r>
        <w:rPr>
          <w:sz w:val="24"/>
          <w:szCs w:val="24"/>
        </w:rPr>
        <w:t xml:space="preserve"> wyznaczon</w:t>
      </w:r>
      <w:r w:rsidR="00F912F1">
        <w:rPr>
          <w:sz w:val="24"/>
          <w:szCs w:val="24"/>
        </w:rPr>
        <w:t>e</w:t>
      </w:r>
      <w:r>
        <w:rPr>
          <w:sz w:val="24"/>
          <w:szCs w:val="24"/>
        </w:rPr>
        <w:t xml:space="preserve"> miejsc</w:t>
      </w:r>
      <w:r w:rsidR="00F912F1">
        <w:rPr>
          <w:sz w:val="24"/>
          <w:szCs w:val="24"/>
        </w:rPr>
        <w:t>a</w:t>
      </w:r>
      <w:r>
        <w:rPr>
          <w:sz w:val="24"/>
          <w:szCs w:val="24"/>
        </w:rPr>
        <w:t xml:space="preserve"> dla niepełnosprawnych.</w:t>
      </w:r>
    </w:p>
    <w:p w:rsidR="00980009" w:rsidRDefault="00980009" w:rsidP="00980009">
      <w:pPr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17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3, pkt 16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15, pkt 16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19, pkt 20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 xml:space="preserve">Prosimy o potwierdzenie, że dostarczone przez Zamawiającego podzespoły i części będą sprawne lub nowe bez konieczności wykonywania na nich uprzednich napraw przed ich zamontowaniem. 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C44A73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Potwierdzamy, że podzespoły będą sprawne </w:t>
      </w:r>
      <w:r w:rsidR="00F912F1">
        <w:rPr>
          <w:sz w:val="24"/>
          <w:szCs w:val="24"/>
        </w:rPr>
        <w:t>lub nowe</w:t>
      </w:r>
      <w:r>
        <w:rPr>
          <w:sz w:val="24"/>
          <w:szCs w:val="24"/>
        </w:rPr>
        <w:t>.</w:t>
      </w:r>
    </w:p>
    <w:p w:rsidR="00980009" w:rsidRDefault="00980009" w:rsidP="00980009">
      <w:pPr>
        <w:pStyle w:val="Trescpola"/>
        <w:ind w:left="426" w:right="283"/>
        <w:jc w:val="both"/>
        <w:rPr>
          <w:highlight w:val="yellow"/>
        </w:rPr>
      </w:pPr>
    </w:p>
    <w:p w:rsidR="00980009" w:rsidRDefault="00980009" w:rsidP="00980009">
      <w:pPr>
        <w:pStyle w:val="Trescpola"/>
        <w:ind w:left="426" w:right="283"/>
        <w:jc w:val="both"/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17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13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3, pkt 16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15, pkt 16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19, pkt 20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>Prosimy o potwierdzenie, że w sytuacji gdy, np. podczas jazdy próbnej, awarii ulegnie któryś z podzespołów dostarczonych przez Zamawiającego, termin naprawy zostanie przedłużony o czas niezbędny na jego naprawę (naprawa na koszt Zamawiającego) lub czas na dostarczenie przez Zamawiającego innego sprawnego podzespołu.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A420C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Potwierdzamy</w:t>
      </w:r>
    </w:p>
    <w:p w:rsidR="00980009" w:rsidRDefault="00980009" w:rsidP="00980009">
      <w:pPr>
        <w:pStyle w:val="Trescpola"/>
        <w:ind w:left="426" w:right="283"/>
        <w:jc w:val="both"/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>Prosimy o potwierdzenie, że przypadku wystąpienia prac dodatkowych przy naprawie maszyn elektrycznych (przezwojenie wirnika silnika, wymiana komutatora, wymiana wału silnika i inne) będą to prace uzgadniane odrębnie za dodatkową opłatą.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321978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Zamawiający potwierdza ze wszelkie naprawy wychodzące poza zakres DSU i OPZ będą traktowane jako prace objęte dodatkowym zleceniem.</w:t>
      </w:r>
    </w:p>
    <w:p w:rsidR="00980009" w:rsidRDefault="00980009" w:rsidP="00980009">
      <w:pPr>
        <w:pStyle w:val="Trescpola"/>
        <w:ind w:left="426" w:right="283"/>
        <w:jc w:val="both"/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>W przypadku negatywnej odpowiedzi na powyższe pytanie prosimy o informację, jaki zakres ww.  prac przewiduje Zamawiający do wykonania w ramach postępowania.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Odpowiedź Zamawiającego:</w:t>
      </w:r>
    </w:p>
    <w:p w:rsidR="00980009" w:rsidRDefault="00A420C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>Prosimy o potwierdzenie, że przypadku wystąpienia prac dodatkowych przy naprawie zestawów kołowych (m.in. wymiana osi, koła bosego, koła zębatego, łożyska) będą to prace uzgadniane odrębnie za dodatkową opłatą.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A420C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Potwierdzamy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>W przypadku negatywnej odpowiedzi na powyższe pytanie prosimy o informację, jaki zakres ww.  prac przewiduje Zamawiający do wykonania w ramach postępowania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A420C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980009" w:rsidRDefault="00980009" w:rsidP="00980009">
      <w:pPr>
        <w:pStyle w:val="Trescpola"/>
        <w:ind w:left="426" w:right="283"/>
        <w:jc w:val="both"/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II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 xml:space="preserve">Prosimy o wskazanie czy sprzęgi czołowe i </w:t>
      </w:r>
      <w:proofErr w:type="spellStart"/>
      <w:r>
        <w:rPr>
          <w:b w:val="0"/>
        </w:rPr>
        <w:t>międzywagonowe</w:t>
      </w:r>
      <w:proofErr w:type="spellEnd"/>
      <w:r>
        <w:rPr>
          <w:b w:val="0"/>
        </w:rPr>
        <w:t xml:space="preserve"> po wykonanej przez Zamawiającego naprawie P4 zostaną dostarczone wraz z pojazdami lub wskazanie terminu ich dostarczenia. 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A420C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Sprzęgi zdemontowane z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zostaną przesłane do </w:t>
      </w:r>
      <w:r w:rsidR="00F912F1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celem wykonania P4 i odesłane do Wykonawcy</w:t>
      </w:r>
    </w:p>
    <w:p w:rsidR="00980009" w:rsidRDefault="00980009" w:rsidP="00980009">
      <w:pPr>
        <w:rPr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Zał. nr 1 zadanie 1 OPZ ust. I pkt 29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25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26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22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25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29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26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31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 xml:space="preserve">Wnioskujemy o wykreślenie tego punktu lub prosimy o dopisanie, że przedmiotowe próby będą Wykonywane u Zamawiającego na miejscu z pojazdem przez niego zabezpieczonym tj. EN57 / EN71 wykonanym w takim samym standardzie (wyposażonym w takie same systemy m.in. SIP itp. jak przedmiotowy </w:t>
      </w:r>
      <w:proofErr w:type="spellStart"/>
      <w:r>
        <w:rPr>
          <w:b w:val="0"/>
        </w:rPr>
        <w:t>ezt</w:t>
      </w:r>
      <w:proofErr w:type="spellEnd"/>
      <w:r>
        <w:rPr>
          <w:b w:val="0"/>
        </w:rPr>
        <w:t>).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A420C9" w:rsidRDefault="00A420C9" w:rsidP="00A420C9">
      <w:pPr>
        <w:pStyle w:val="Trescpola"/>
        <w:ind w:left="426" w:right="283"/>
        <w:jc w:val="both"/>
        <w:rPr>
          <w:b w:val="0"/>
        </w:rPr>
      </w:pPr>
      <w:r w:rsidRPr="00A420C9">
        <w:rPr>
          <w:b w:val="0"/>
        </w:rPr>
        <w:t xml:space="preserve">Przychylamy się do prośby o dopisanie, że </w:t>
      </w:r>
      <w:r>
        <w:rPr>
          <w:b w:val="0"/>
        </w:rPr>
        <w:t>„</w:t>
      </w:r>
      <w:r w:rsidRPr="00A420C9">
        <w:rPr>
          <w:b w:val="0"/>
        </w:rPr>
        <w:t>przedmiotowe</w:t>
      </w:r>
      <w:r w:rsidR="00C166DA">
        <w:rPr>
          <w:b w:val="0"/>
        </w:rPr>
        <w:t xml:space="preserve"> próby będą Wykonywane u </w:t>
      </w:r>
      <w:r>
        <w:rPr>
          <w:b w:val="0"/>
        </w:rPr>
        <w:t>Zamawiającego na miejscu z pojazdem przez niego zabezpieczonym tj. EN57 / EN71 wykonanym w takim samym standardzie (wyposażonym w takie same systemy m.in. SIP itp. jak</w:t>
      </w:r>
      <w:r w:rsidR="00C166DA">
        <w:rPr>
          <w:b w:val="0"/>
        </w:rPr>
        <w:t xml:space="preserve"> przedmiotowy </w:t>
      </w:r>
      <w:proofErr w:type="spellStart"/>
      <w:r w:rsidR="00C166DA">
        <w:rPr>
          <w:b w:val="0"/>
        </w:rPr>
        <w:t>ezt</w:t>
      </w:r>
      <w:proofErr w:type="spellEnd"/>
      <w:r w:rsidR="00C166DA">
        <w:rPr>
          <w:b w:val="0"/>
        </w:rPr>
        <w:t>)”</w:t>
      </w:r>
      <w:bookmarkStart w:id="1" w:name="_GoBack"/>
      <w:bookmarkEnd w:id="1"/>
      <w:r w:rsidR="00C166DA">
        <w:rPr>
          <w:b w:val="0"/>
        </w:rPr>
        <w:t>, na koszt wykonawcy.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</w:p>
    <w:p w:rsidR="00980009" w:rsidRDefault="00980009" w:rsidP="00980009">
      <w:pPr>
        <w:pStyle w:val="Trescpola"/>
        <w:ind w:left="426" w:right="283"/>
        <w:jc w:val="both"/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22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25</w:t>
      </w:r>
    </w:p>
    <w:p w:rsidR="00980009" w:rsidRDefault="00980009" w:rsidP="00980009">
      <w:pPr>
        <w:pStyle w:val="Akapitzlist"/>
        <w:ind w:left="360"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009" w:rsidRDefault="00980009" w:rsidP="00980009">
      <w:pPr>
        <w:pStyle w:val="Akapitzlist"/>
        <w:ind w:left="426" w:right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związku z tym, że w zakresie naprawy Wykonawca nie jest zobowiązany do zamontowania Systemu Informacji Pasażerskiej prosimy o wskazanie powodu zapisu: „dostarczone SIP przez Zamawiającego”. </w:t>
      </w:r>
    </w:p>
    <w:p w:rsidR="00980009" w:rsidRDefault="00980009" w:rsidP="00980009">
      <w:pPr>
        <w:pStyle w:val="Akapitzlist"/>
        <w:ind w:left="360" w:right="283"/>
        <w:jc w:val="both"/>
        <w:rPr>
          <w:rFonts w:ascii="Times New Roman" w:hAnsi="Times New Roman"/>
          <w:bCs/>
          <w:sz w:val="24"/>
          <w:szCs w:val="24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F912F1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CC2658">
        <w:rPr>
          <w:sz w:val="24"/>
          <w:szCs w:val="24"/>
        </w:rPr>
        <w:t xml:space="preserve"> wskazuje</w:t>
      </w:r>
      <w:r>
        <w:rPr>
          <w:sz w:val="24"/>
          <w:szCs w:val="24"/>
        </w:rPr>
        <w:t>, że pojazdy są wyposażone</w:t>
      </w:r>
      <w:r w:rsidR="00CC26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ten sam SIP jaki </w:t>
      </w:r>
      <w:r w:rsidR="00CC2658">
        <w:rPr>
          <w:sz w:val="24"/>
          <w:szCs w:val="24"/>
        </w:rPr>
        <w:t>dostarcza na pozostałe pojazdy</w:t>
      </w:r>
      <w:r w:rsidR="004D437D">
        <w:rPr>
          <w:sz w:val="24"/>
          <w:szCs w:val="24"/>
        </w:rPr>
        <w:t>.</w:t>
      </w:r>
      <w:r w:rsidR="00CC2658">
        <w:rPr>
          <w:sz w:val="24"/>
          <w:szCs w:val="24"/>
        </w:rPr>
        <w:t xml:space="preserve"> Zamawiający oczekuje tylko montażu kompatybilnych złączy na czole </w:t>
      </w:r>
      <w:proofErr w:type="spellStart"/>
      <w:r w:rsidR="00CC2658">
        <w:rPr>
          <w:sz w:val="24"/>
          <w:szCs w:val="24"/>
        </w:rPr>
        <w:t>ezt</w:t>
      </w:r>
      <w:proofErr w:type="spellEnd"/>
      <w:r w:rsidR="00CC2658">
        <w:rPr>
          <w:sz w:val="24"/>
          <w:szCs w:val="24"/>
        </w:rPr>
        <w:t xml:space="preserve"> umożliwiających podłączenie SIP i sterowanie drzwiami, tak jak na pojeździe EN57-</w:t>
      </w:r>
      <w:r w:rsidR="00B72435">
        <w:rPr>
          <w:sz w:val="24"/>
          <w:szCs w:val="24"/>
        </w:rPr>
        <w:t>9</w:t>
      </w:r>
      <w:r w:rsidR="00CC2658">
        <w:rPr>
          <w:sz w:val="24"/>
          <w:szCs w:val="24"/>
        </w:rPr>
        <w:t>69</w:t>
      </w:r>
    </w:p>
    <w:p w:rsidR="00980009" w:rsidRDefault="00980009" w:rsidP="00980009">
      <w:pPr>
        <w:pStyle w:val="Akapitzlist"/>
        <w:ind w:left="360" w:right="283"/>
        <w:jc w:val="both"/>
        <w:rPr>
          <w:rFonts w:ascii="Times New Roman" w:hAnsi="Times New Roman"/>
          <w:bCs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umowy §6 i §7</w:t>
      </w:r>
    </w:p>
    <w:p w:rsidR="00980009" w:rsidRDefault="00980009" w:rsidP="00980009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Prosimy o potwierdzenie, że Zamawiający będzie dokonywał płatności za wykonanie przedmiotu umowy w terminie przewidzianym §7 ust 1 odrębnie dla każdego z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po zakończeniu jego naprawy i wystawieniu faktury zgodnie z §7 ust 3.</w:t>
      </w:r>
      <w:r>
        <w:rPr>
          <w:b/>
          <w:sz w:val="24"/>
          <w:szCs w:val="24"/>
        </w:rPr>
        <w:t xml:space="preserve">   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437D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Potwierdzamy</w:t>
      </w:r>
    </w:p>
    <w:p w:rsidR="00980009" w:rsidRDefault="00980009" w:rsidP="00980009">
      <w:pPr>
        <w:ind w:left="426"/>
        <w:jc w:val="both"/>
        <w:rPr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5, pkt 6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Zał. nr 5 zadanie 2 OPZ ust. I pkt 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4, pkt 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6, pkt 7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Prosimy o wskazanie, jakie laminaty są zastosowane w pojazdach. 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437D" w:rsidP="00980009">
      <w:pPr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Unilam</w:t>
      </w:r>
      <w:proofErr w:type="spellEnd"/>
      <w:r>
        <w:rPr>
          <w:sz w:val="24"/>
          <w:szCs w:val="24"/>
        </w:rPr>
        <w:t xml:space="preserve"> naklejony na płytę pilśniową </w:t>
      </w:r>
      <w:r w:rsidR="00321978">
        <w:rPr>
          <w:sz w:val="24"/>
          <w:szCs w:val="24"/>
        </w:rPr>
        <w:t>twardą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IV</w:t>
      </w:r>
    </w:p>
    <w:p w:rsidR="00980009" w:rsidRDefault="00980009" w:rsidP="00980009">
      <w:pPr>
        <w:pStyle w:val="Akapitzlist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IV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uwagi na to, że wykładzina nie może być określana za pomocą palety RAL ( u producentów tego wyrobu nie występują wzory/kolory będące identyfikowane kolorem RAL 8002)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proponujemy zamianę treści na „wykładzina podłogowa - do uzgodnienia z Zamawiającym</w:t>
      </w:r>
      <w:r>
        <w:rPr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1967C0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Przychylamy się do prośby</w:t>
      </w:r>
    </w:p>
    <w:p w:rsidR="00980009" w:rsidRDefault="00980009" w:rsidP="0098000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spacing w:line="254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980009" w:rsidRDefault="00980009" w:rsidP="00980009">
      <w:pPr>
        <w:ind w:left="36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We wskazanych załącznikach Zamawiający wymienił symbol skóry, którą mają być obszyte  zagłówki: </w:t>
      </w:r>
      <w:r>
        <w:rPr>
          <w:color w:val="000000"/>
          <w:sz w:val="24"/>
          <w:szCs w:val="24"/>
        </w:rPr>
        <w:t>„SL4C5 GREY 023 (E-LEATHER</w:t>
      </w:r>
      <w:r>
        <w:rPr>
          <w:sz w:val="24"/>
          <w:szCs w:val="24"/>
        </w:rPr>
        <w:t xml:space="preserve">)”. Proszę o potwierdzenie, że taki wzór należy zastosować lub zmianę zapisu na </w:t>
      </w:r>
      <w:r>
        <w:rPr>
          <w:sz w:val="24"/>
          <w:szCs w:val="24"/>
          <w:u w:val="single"/>
        </w:rPr>
        <w:t>E-LEATHER SL7 2644 Blue 045</w:t>
      </w:r>
      <w:r>
        <w:rPr>
          <w:sz w:val="24"/>
          <w:szCs w:val="24"/>
        </w:rPr>
        <w:t xml:space="preserve"> (czyli na taką jak zastosowana na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EN57-969). </w:t>
      </w:r>
    </w:p>
    <w:p w:rsidR="00980009" w:rsidRDefault="00980009" w:rsidP="0098000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Natomiast w kwestii </w:t>
      </w:r>
      <w:r>
        <w:rPr>
          <w:color w:val="000000"/>
          <w:sz w:val="24"/>
          <w:szCs w:val="24"/>
        </w:rPr>
        <w:t xml:space="preserve">tapicerki prosimy o potwierdzenie, że wskazując </w:t>
      </w:r>
      <w:r>
        <w:rPr>
          <w:sz w:val="24"/>
          <w:szCs w:val="24"/>
        </w:rPr>
        <w:t>symbol: SKM422/18 (RUNOTEX ) Zamawiający ma na myśli taką samą tapicerkę jak na EN57-969 czyli art.8637 des 422/18 ( RUNOTEX)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1967C0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Zgoda, skóra jak na EN57-969</w:t>
      </w:r>
    </w:p>
    <w:p w:rsidR="00980009" w:rsidRDefault="00980009" w:rsidP="00980009">
      <w:pPr>
        <w:pStyle w:val="Akapitzlist"/>
        <w:spacing w:line="25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1 </w:t>
      </w:r>
      <w:r>
        <w:rPr>
          <w:rFonts w:ascii="Times New Roman" w:hAnsi="Times New Roman"/>
          <w:b/>
          <w:bCs/>
          <w:sz w:val="24"/>
          <w:szCs w:val="24"/>
        </w:rPr>
        <w:t xml:space="preserve">zadanie 1 </w:t>
      </w:r>
      <w:r>
        <w:rPr>
          <w:rFonts w:ascii="Times New Roman" w:hAnsi="Times New Roman"/>
          <w:b/>
          <w:sz w:val="24"/>
          <w:szCs w:val="24"/>
        </w:rPr>
        <w:t>OPZ ust. I pkt 12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8 </w:t>
      </w:r>
      <w:r>
        <w:rPr>
          <w:rFonts w:ascii="Times New Roman" w:hAnsi="Times New Roman"/>
          <w:b/>
          <w:bCs/>
          <w:sz w:val="24"/>
          <w:szCs w:val="24"/>
        </w:rPr>
        <w:t xml:space="preserve">zadanie 3 </w:t>
      </w:r>
      <w:r>
        <w:rPr>
          <w:rFonts w:ascii="Times New Roman" w:hAnsi="Times New Roman"/>
          <w:b/>
          <w:sz w:val="24"/>
          <w:szCs w:val="24"/>
        </w:rPr>
        <w:t>OPZ ust. I pkt 14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określenie czy nowe stoliki mają być z TWS-u czy też w obecnych stolikach należało będzie wymienić </w:t>
      </w:r>
      <w:proofErr w:type="spellStart"/>
      <w:r>
        <w:rPr>
          <w:rFonts w:ascii="Times New Roman" w:hAnsi="Times New Roman"/>
          <w:sz w:val="24"/>
          <w:szCs w:val="24"/>
        </w:rPr>
        <w:t>unilam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Odpowiedź Zamawiającego:</w:t>
      </w:r>
    </w:p>
    <w:p w:rsidR="00980009" w:rsidRDefault="001967C0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Stoliki z TWS-u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jakiego typu przetwornice i sprężarki wyposażone są te pojazdy?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0B15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PSM26, ENIKA - 1 szt. , SK7, A50 - 1 szt. ,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4 </w:t>
      </w:r>
      <w:r>
        <w:rPr>
          <w:rFonts w:ascii="Times New Roman" w:hAnsi="Times New Roman"/>
          <w:b/>
          <w:bCs/>
          <w:sz w:val="24"/>
          <w:szCs w:val="24"/>
        </w:rPr>
        <w:t xml:space="preserve">zadanie 2 </w:t>
      </w:r>
      <w:r>
        <w:rPr>
          <w:rFonts w:ascii="Times New Roman" w:hAnsi="Times New Roman"/>
          <w:b/>
          <w:sz w:val="24"/>
          <w:szCs w:val="24"/>
        </w:rPr>
        <w:t>OPZ ust. I pkt 18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jakiego typu SIP i monitoring wyposażony jest pojazd? 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potwierdzenie że ewentualna wymiana uszkodzonych lub niewłaściwe funkcjonujących elementów podlegać będzie pracom dodatkowym?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0B15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SIP  PIXEL, </w:t>
      </w:r>
      <w:r w:rsidR="00B72435">
        <w:rPr>
          <w:sz w:val="24"/>
          <w:szCs w:val="24"/>
        </w:rPr>
        <w:t>monitoring POLGARD montowany w ZNTK Mińsk Mazowiecki</w:t>
      </w:r>
    </w:p>
    <w:p w:rsidR="00980009" w:rsidRDefault="00980009" w:rsidP="00980009">
      <w:pPr>
        <w:pStyle w:val="Akapitzlist"/>
        <w:spacing w:line="254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4 </w:t>
      </w:r>
      <w:r>
        <w:rPr>
          <w:rFonts w:ascii="Times New Roman" w:hAnsi="Times New Roman"/>
          <w:b/>
          <w:bCs/>
          <w:sz w:val="24"/>
          <w:szCs w:val="24"/>
        </w:rPr>
        <w:t xml:space="preserve">zadanie 2 </w:t>
      </w:r>
      <w:r>
        <w:rPr>
          <w:rFonts w:ascii="Times New Roman" w:hAnsi="Times New Roman"/>
          <w:b/>
          <w:sz w:val="24"/>
          <w:szCs w:val="24"/>
        </w:rPr>
        <w:t>OPZ ust. I pkt 18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>W przypadku negatywnej odpowiedzi na powyższe pytanie prosimy o informację, jaki zakres ww.  prac przewiduje Zamawiający do wykonania w ramach postępowania.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0B15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1, 2, 3, 5 i 6 OPZ 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i ewentualnie w jakiego typu SIP i monitoring wyposażone są pojazdy przewidziane do naprawy?  Prosimy o potwierdzenie że w przypadku pojazdów wyposażonych w powyższe systemy ewentualna wymiana uszkodzonych lub niewłaściwe funkcjonujących elementów podlegać będzie pracom dodatkowym?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4D0B15" w:rsidRDefault="004D0B15" w:rsidP="004D0B1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SIP  PIXE</w:t>
      </w:r>
      <w:r w:rsidR="00B72435">
        <w:rPr>
          <w:sz w:val="24"/>
          <w:szCs w:val="24"/>
        </w:rPr>
        <w:t>L</w:t>
      </w:r>
      <w:r>
        <w:rPr>
          <w:sz w:val="24"/>
          <w:szCs w:val="24"/>
        </w:rPr>
        <w:t>, potwierdzamy w przypadku konieczności, wystawimy dodatkowe zamówienie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Zał. 1, 2, 3, 5 i 6 OPZ 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negatywnej odpowiedzi na powyższe pytanie prosimy o informację, jaki zakres ww.  prac przewiduje Zamawiający do wykonania w ramach postępowania.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0B15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Zał. nr 1 ÷ 8 OPZ </w:t>
      </w:r>
    </w:p>
    <w:p w:rsidR="00980009" w:rsidRDefault="00980009" w:rsidP="0098000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>Prosimy o odpowiedzi na pytania:</w:t>
      </w:r>
    </w:p>
    <w:p w:rsidR="00980009" w:rsidRDefault="00980009" w:rsidP="009800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czy na pojazdach są zamontowane liczniki energii?</w:t>
      </w:r>
    </w:p>
    <w:p w:rsidR="00980009" w:rsidRDefault="00980009" w:rsidP="009800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czy liczniki zamontowane na pojazdach posiadają aktualną legalizację? Czy w przypadku jej braku Zamawiający będzie wymagał przeprowadzenia legalizacji?</w:t>
      </w:r>
    </w:p>
    <w:p w:rsidR="00980009" w:rsidRDefault="00980009" w:rsidP="009800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prosimy o podanie producenta licznika energii. Czy posiada akredytację PKP Energetyki? </w:t>
      </w:r>
    </w:p>
    <w:p w:rsidR="00980009" w:rsidRDefault="00980009" w:rsidP="009800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czy Zamawiający posiada uzgodnioną dokumentację z PKP Energetyką na posiadane liczniki?</w:t>
      </w:r>
    </w:p>
    <w:p w:rsidR="00980009" w:rsidRDefault="00980009" w:rsidP="0098000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czy Zamawiający będzie wymagał wymiany licznika na nowy? Jeżeli tak to wg jakich wymagań.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153151" w:rsidRPr="00F63F50" w:rsidRDefault="00153151" w:rsidP="00153151">
      <w:pPr>
        <w:ind w:left="360"/>
        <w:jc w:val="both"/>
        <w:rPr>
          <w:b/>
          <w:sz w:val="24"/>
          <w:szCs w:val="24"/>
        </w:rPr>
      </w:pPr>
      <w:r w:rsidRPr="00F63F50">
        <w:rPr>
          <w:b/>
          <w:sz w:val="24"/>
          <w:szCs w:val="24"/>
        </w:rPr>
        <w:t>- czy na pojazdach są zamontowane liczniki energii?</w:t>
      </w:r>
    </w:p>
    <w:p w:rsidR="00153151" w:rsidRPr="00F63F50" w:rsidRDefault="00153151" w:rsidP="00153151">
      <w:pPr>
        <w:ind w:left="360"/>
        <w:jc w:val="both"/>
        <w:rPr>
          <w:sz w:val="24"/>
          <w:szCs w:val="24"/>
        </w:rPr>
      </w:pPr>
      <w:r w:rsidRPr="00F63F50">
        <w:rPr>
          <w:sz w:val="24"/>
          <w:szCs w:val="24"/>
        </w:rPr>
        <w:t>Tak, na pojazdach są zainstalowane liczniki energii elektrycznej prądu stałego.</w:t>
      </w:r>
    </w:p>
    <w:p w:rsidR="00153151" w:rsidRPr="0097326B" w:rsidRDefault="00153151" w:rsidP="00153151">
      <w:pPr>
        <w:ind w:left="360"/>
        <w:jc w:val="both"/>
        <w:rPr>
          <w:b/>
          <w:sz w:val="24"/>
          <w:szCs w:val="24"/>
        </w:rPr>
      </w:pPr>
      <w:r w:rsidRPr="0097326B">
        <w:rPr>
          <w:b/>
          <w:sz w:val="24"/>
          <w:szCs w:val="24"/>
        </w:rPr>
        <w:t>- czy liczniki zamontowane na pojazdach posiadają aktualną legalizację? Czy w przypadku jej braku Zamawiający będzie wymagał przeprowadzenia legalizacji?</w:t>
      </w:r>
    </w:p>
    <w:p w:rsidR="00153151" w:rsidRDefault="00153151" w:rsidP="00153151">
      <w:pPr>
        <w:ind w:left="360"/>
        <w:jc w:val="both"/>
        <w:rPr>
          <w:sz w:val="24"/>
          <w:szCs w:val="24"/>
        </w:rPr>
      </w:pPr>
      <w:r w:rsidRPr="0097326B">
        <w:rPr>
          <w:sz w:val="24"/>
          <w:szCs w:val="24"/>
        </w:rPr>
        <w:t>Zainstalowane na pojazdach liczniki posiadają aktualna legalizację. Jedynie w przypadku jednego pojazdu EN71-047, na którym zainstalowane są dwa liczniki, okres upływu legalizacji może pokryć się z terminem odstawienia pojazdu do Wykonawcy w celu przeprowadzenia P4. W tym wypadku Zamawiający może wymagać demontażu, wysyłki do Zamawiającego oraz montażu liczników po wykonania legalizacji przez Zamawiającego.</w:t>
      </w:r>
    </w:p>
    <w:p w:rsidR="00153151" w:rsidRPr="00F63F50" w:rsidRDefault="00153151" w:rsidP="00153151">
      <w:pPr>
        <w:ind w:left="360"/>
        <w:jc w:val="both"/>
        <w:rPr>
          <w:b/>
          <w:sz w:val="24"/>
          <w:szCs w:val="24"/>
        </w:rPr>
      </w:pPr>
      <w:r w:rsidRPr="00F63F50">
        <w:rPr>
          <w:b/>
          <w:sz w:val="24"/>
          <w:szCs w:val="24"/>
        </w:rPr>
        <w:t xml:space="preserve">- prosimy o podanie producenta licznika energii. Czy posiada akredytację PKP Energetyki? </w:t>
      </w:r>
    </w:p>
    <w:p w:rsidR="00153151" w:rsidRPr="00F63F50" w:rsidRDefault="00153151" w:rsidP="00153151">
      <w:pPr>
        <w:ind w:left="360"/>
        <w:jc w:val="both"/>
        <w:rPr>
          <w:sz w:val="24"/>
          <w:szCs w:val="24"/>
        </w:rPr>
      </w:pPr>
      <w:r w:rsidRPr="00F63F50">
        <w:rPr>
          <w:sz w:val="24"/>
          <w:szCs w:val="24"/>
        </w:rPr>
        <w:t>Poniżej zestawienie pojazdów wraz z zainstalowanymi licznikami:</w:t>
      </w:r>
    </w:p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2440"/>
        <w:gridCol w:w="2220"/>
      </w:tblGrid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62F">
              <w:rPr>
                <w:rFonts w:ascii="Calibri" w:eastAsia="Times New Roman" w:hAnsi="Calibri" w:cs="Calibri"/>
                <w:b/>
                <w:bCs/>
                <w:color w:val="000000"/>
              </w:rPr>
              <w:t>Seria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62F">
              <w:rPr>
                <w:rFonts w:ascii="Calibri" w:eastAsia="Times New Roman" w:hAnsi="Calibri" w:cs="Calibri"/>
                <w:b/>
                <w:bCs/>
                <w:color w:val="000000"/>
              </w:rPr>
              <w:t>Nr pojazdu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Typ licznika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62F">
              <w:rPr>
                <w:rFonts w:ascii="Calibri" w:eastAsia="Times New Roman" w:hAnsi="Calibri" w:cs="Calibri"/>
                <w:b/>
                <w:bCs/>
                <w:color w:val="000000"/>
              </w:rPr>
              <w:t>Producent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1052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1738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1757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EM3000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SESTO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  <w:tr w:rsidR="00153151" w:rsidRPr="0036662F" w:rsidTr="00B73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EN 71A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LE3000plus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151" w:rsidRPr="0036662F" w:rsidRDefault="00153151" w:rsidP="00B7345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662F">
              <w:rPr>
                <w:rFonts w:ascii="Arial" w:eastAsia="Times New Roman" w:hAnsi="Arial" w:cs="Arial"/>
              </w:rPr>
              <w:t>ELESTER-PKP</w:t>
            </w:r>
          </w:p>
        </w:tc>
      </w:tr>
    </w:tbl>
    <w:p w:rsidR="00153151" w:rsidRPr="0036662F" w:rsidRDefault="00153151" w:rsidP="00153151">
      <w:pPr>
        <w:ind w:left="360"/>
        <w:jc w:val="both"/>
        <w:rPr>
          <w:b/>
          <w:sz w:val="24"/>
          <w:szCs w:val="24"/>
        </w:rPr>
      </w:pPr>
    </w:p>
    <w:p w:rsidR="00153151" w:rsidRPr="00F63F50" w:rsidRDefault="00153151" w:rsidP="00153151">
      <w:pPr>
        <w:ind w:left="360"/>
        <w:jc w:val="both"/>
        <w:rPr>
          <w:sz w:val="24"/>
          <w:szCs w:val="24"/>
        </w:rPr>
      </w:pPr>
      <w:r w:rsidRPr="00F63F50">
        <w:rPr>
          <w:sz w:val="24"/>
          <w:szCs w:val="24"/>
        </w:rPr>
        <w:t xml:space="preserve">Zainstalowane liczniki posiadają akredytację PKP Energetyka S.A. i w przypadku przeprowadzenia ich legalizacji w roku 2018 PKP Energetyka S.A. dopuszcza ich </w:t>
      </w:r>
      <w:r w:rsidRPr="00F63F50">
        <w:rPr>
          <w:sz w:val="24"/>
          <w:szCs w:val="24"/>
        </w:rPr>
        <w:lastRenderedPageBreak/>
        <w:t>eksploatacje przez kolejne 3 lata (tj. do roku 2021). Po upływie tego okresu liczniki muszą zostać wymienione na zgodne z normą PN-EN 50463:2013.</w:t>
      </w:r>
    </w:p>
    <w:p w:rsidR="00153151" w:rsidRPr="00F63F50" w:rsidRDefault="00153151" w:rsidP="00153151">
      <w:pPr>
        <w:ind w:left="360"/>
        <w:jc w:val="both"/>
        <w:rPr>
          <w:b/>
          <w:sz w:val="24"/>
          <w:szCs w:val="24"/>
        </w:rPr>
      </w:pPr>
      <w:r w:rsidRPr="00F63F50">
        <w:rPr>
          <w:b/>
          <w:sz w:val="24"/>
          <w:szCs w:val="24"/>
        </w:rPr>
        <w:t>- czy Zamawiający posiada uzgodnioną dokumentację z PKP Energetyką na posiadane liczniki?</w:t>
      </w:r>
    </w:p>
    <w:p w:rsidR="00153151" w:rsidRPr="00F63F50" w:rsidRDefault="00153151" w:rsidP="00153151">
      <w:pPr>
        <w:ind w:left="360"/>
        <w:jc w:val="both"/>
        <w:rPr>
          <w:sz w:val="24"/>
          <w:szCs w:val="24"/>
        </w:rPr>
      </w:pPr>
      <w:r w:rsidRPr="00F63F50">
        <w:rPr>
          <w:sz w:val="24"/>
          <w:szCs w:val="24"/>
        </w:rPr>
        <w:t>Tak, posiadamy uzgodnioną z PKP Energetyka S.A. dokumentacje powykonawczą zamontowanych na pojazdach liczników energii elektrycznej prądu stałego.</w:t>
      </w:r>
    </w:p>
    <w:p w:rsidR="00153151" w:rsidRPr="00F63F50" w:rsidRDefault="00153151" w:rsidP="00153151">
      <w:pPr>
        <w:ind w:left="360"/>
        <w:jc w:val="both"/>
        <w:rPr>
          <w:b/>
          <w:sz w:val="24"/>
          <w:szCs w:val="24"/>
        </w:rPr>
      </w:pPr>
      <w:r w:rsidRPr="00F63F50">
        <w:rPr>
          <w:b/>
          <w:sz w:val="24"/>
          <w:szCs w:val="24"/>
        </w:rPr>
        <w:t>- czy Zamawiający będzie wymagał wymiany licznika na nowy? Jeżeli tak to wg jakich wymagań.</w:t>
      </w:r>
    </w:p>
    <w:p w:rsidR="00153151" w:rsidRPr="00F63F50" w:rsidRDefault="00153151" w:rsidP="00153151">
      <w:pPr>
        <w:ind w:left="360"/>
        <w:jc w:val="both"/>
        <w:rPr>
          <w:sz w:val="24"/>
          <w:szCs w:val="24"/>
        </w:rPr>
      </w:pPr>
      <w:r w:rsidRPr="00F63F50">
        <w:rPr>
          <w:sz w:val="24"/>
          <w:szCs w:val="24"/>
        </w:rPr>
        <w:t>Nie, jako że w przypadku przeprowadzenia legalizacji zamontowanych liczników w roku 2018 PKP Energetyka S.A. dopuszcza ich eksploatacje przez kolejne 3 lata (tj. do roku 2021) Zamawiający nie wymaga wymiany liczników na nowe.</w:t>
      </w:r>
    </w:p>
    <w:p w:rsidR="00980009" w:rsidRDefault="00980009" w:rsidP="00980009">
      <w:pPr>
        <w:ind w:left="284"/>
        <w:jc w:val="both"/>
        <w:rPr>
          <w:sz w:val="24"/>
          <w:szCs w:val="24"/>
        </w:rPr>
      </w:pPr>
    </w:p>
    <w:p w:rsidR="00980009" w:rsidRDefault="00980009" w:rsidP="00980009">
      <w:pPr>
        <w:rPr>
          <w:sz w:val="24"/>
          <w:szCs w:val="24"/>
        </w:rPr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9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7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7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7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9</w:t>
      </w:r>
    </w:p>
    <w:p w:rsidR="00980009" w:rsidRDefault="00980009" w:rsidP="00980009">
      <w:pPr>
        <w:pStyle w:val="Akapitzlist"/>
        <w:spacing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11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t xml:space="preserve">Wobec zawartych w </w:t>
      </w:r>
      <w:proofErr w:type="spellStart"/>
      <w:r>
        <w:rPr>
          <w:b w:val="0"/>
        </w:rPr>
        <w:t>ww</w:t>
      </w:r>
      <w:proofErr w:type="spellEnd"/>
      <w:r>
        <w:rPr>
          <w:b w:val="0"/>
        </w:rPr>
        <w:t xml:space="preserve"> załącznikach różniących się od siebie zakresów napraw dot. grzejników i ich obszarów, np. zał. nr 8 zadanie 3 pkt I.11 – odnowić zamontowane grzejniki,  wymienić izolację termiczną pod grzejnikami, a w zał. nr 4 zadanie 2 pkt. I.7 – odnowić zamontowane grzejniki, prosimy o weryfikację wskazanych zakresów prac również pod kątem wymiany instalacji elektrycznej, naprawy grzejników i wymiany izolacji nad grzejnikami. 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0B15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Zgod</w:t>
      </w:r>
      <w:r w:rsidR="00B72435">
        <w:rPr>
          <w:sz w:val="24"/>
          <w:szCs w:val="24"/>
        </w:rPr>
        <w:t>nie z OPZ</w:t>
      </w:r>
      <w:r>
        <w:rPr>
          <w:sz w:val="24"/>
          <w:szCs w:val="24"/>
        </w:rPr>
        <w:t>.</w:t>
      </w:r>
    </w:p>
    <w:p w:rsidR="00980009" w:rsidRDefault="00980009" w:rsidP="00980009">
      <w:pPr>
        <w:pStyle w:val="Trescpola"/>
        <w:ind w:left="426" w:right="283"/>
        <w:jc w:val="both"/>
      </w:pPr>
    </w:p>
    <w:p w:rsidR="00980009" w:rsidRDefault="00980009" w:rsidP="00980009">
      <w:pPr>
        <w:pStyle w:val="Akapitzlist"/>
        <w:numPr>
          <w:ilvl w:val="0"/>
          <w:numId w:val="2"/>
        </w:numPr>
        <w:spacing w:after="160" w:line="25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1 zadanie 1 OPZ ust. I pkt 4, pkt 19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2 zadanie 1 OPZ ust. I pkt 4, pkt 15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3 zadanie 1 OPZ ust. I pkt 4, pkt 18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4 zadanie 2 OPZ ust. I pkt 4, pkt 15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5 zadanie 2 OPZ ust. I pkt 4, pkt 15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6 zadanie 2 OPZ ust. I pkt 3, pkt 6, pkt 22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7 zadanie 3 OPZ ust. I pkt 20</w:t>
      </w:r>
    </w:p>
    <w:p w:rsidR="00980009" w:rsidRDefault="00980009" w:rsidP="0098000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Zał. nr 8 zadanie 3 OPZ ust. I pkt 4, pkt 25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  <w:r>
        <w:rPr>
          <w:b w:val="0"/>
        </w:rPr>
        <w:lastRenderedPageBreak/>
        <w:t xml:space="preserve">Czy pojazd posiada przetwornicę, której moc oraz rodzaj napięcia pozwoli na zasilenie wymienionych w tych punktach odbiorników? Prosimy o podanie typu przetwornic, zamontowanych na każdym z </w:t>
      </w:r>
      <w:proofErr w:type="spellStart"/>
      <w:r>
        <w:rPr>
          <w:b w:val="0"/>
        </w:rPr>
        <w:t>ezt</w:t>
      </w:r>
      <w:proofErr w:type="spellEnd"/>
      <w:r>
        <w:rPr>
          <w:b w:val="0"/>
        </w:rPr>
        <w:t>.</w:t>
      </w:r>
    </w:p>
    <w:p w:rsidR="00980009" w:rsidRDefault="00980009" w:rsidP="00980009">
      <w:pPr>
        <w:pStyle w:val="Trescpola"/>
        <w:ind w:left="426" w:right="283"/>
        <w:jc w:val="both"/>
        <w:rPr>
          <w:b w:val="0"/>
        </w:rPr>
      </w:pPr>
    </w:p>
    <w:p w:rsidR="00980009" w:rsidRDefault="00980009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Odpowiedź Zamawiającego:</w:t>
      </w:r>
    </w:p>
    <w:p w:rsidR="00980009" w:rsidRDefault="004D0B15" w:rsidP="009800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ezt</w:t>
      </w:r>
      <w:proofErr w:type="spellEnd"/>
      <w:r>
        <w:rPr>
          <w:sz w:val="24"/>
          <w:szCs w:val="24"/>
        </w:rPr>
        <w:t xml:space="preserve"> posiada przetwornice PSM26 1 przetwornicę ENIKA</w:t>
      </w:r>
      <w:r w:rsidR="00153151">
        <w:rPr>
          <w:sz w:val="24"/>
          <w:szCs w:val="24"/>
        </w:rPr>
        <w:t xml:space="preserve"> ( </w:t>
      </w:r>
      <w:r>
        <w:rPr>
          <w:sz w:val="24"/>
          <w:szCs w:val="24"/>
        </w:rPr>
        <w:t>EN57-1757</w:t>
      </w:r>
      <w:r w:rsidR="00153151">
        <w:rPr>
          <w:sz w:val="24"/>
          <w:szCs w:val="24"/>
        </w:rPr>
        <w:t xml:space="preserve"> )</w:t>
      </w:r>
    </w:p>
    <w:p w:rsidR="00197230" w:rsidRDefault="00197230" w:rsidP="00A64D27">
      <w:pPr>
        <w:spacing w:after="0"/>
        <w:jc w:val="both"/>
        <w:rPr>
          <w:rFonts w:ascii="Arial" w:hAnsi="Arial" w:cs="Arial"/>
          <w:b/>
          <w:u w:val="single"/>
        </w:rPr>
      </w:pPr>
    </w:p>
    <w:sectPr w:rsidR="00197230" w:rsidSect="00AA4D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D01"/>
    <w:multiLevelType w:val="hybridMultilevel"/>
    <w:tmpl w:val="01BE2098"/>
    <w:lvl w:ilvl="0" w:tplc="C7746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CDC"/>
    <w:multiLevelType w:val="hybridMultilevel"/>
    <w:tmpl w:val="96024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3D61"/>
    <w:multiLevelType w:val="hybridMultilevel"/>
    <w:tmpl w:val="B7909908"/>
    <w:lvl w:ilvl="0" w:tplc="DFA0962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40C4D0D"/>
    <w:multiLevelType w:val="hybridMultilevel"/>
    <w:tmpl w:val="1540A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E"/>
    <w:rsid w:val="00083A0E"/>
    <w:rsid w:val="000C3082"/>
    <w:rsid w:val="000E347D"/>
    <w:rsid w:val="0011598F"/>
    <w:rsid w:val="00135FF3"/>
    <w:rsid w:val="00152D3B"/>
    <w:rsid w:val="00153151"/>
    <w:rsid w:val="00165957"/>
    <w:rsid w:val="001967C0"/>
    <w:rsid w:val="00197230"/>
    <w:rsid w:val="001B230A"/>
    <w:rsid w:val="001B3240"/>
    <w:rsid w:val="001F27B6"/>
    <w:rsid w:val="002C6B23"/>
    <w:rsid w:val="002E7A23"/>
    <w:rsid w:val="00321978"/>
    <w:rsid w:val="00323714"/>
    <w:rsid w:val="00327074"/>
    <w:rsid w:val="0039410C"/>
    <w:rsid w:val="003A1EB6"/>
    <w:rsid w:val="003D57D4"/>
    <w:rsid w:val="004037B1"/>
    <w:rsid w:val="004D0B15"/>
    <w:rsid w:val="004D437D"/>
    <w:rsid w:val="00534EEC"/>
    <w:rsid w:val="005F0724"/>
    <w:rsid w:val="00601FD3"/>
    <w:rsid w:val="0063671A"/>
    <w:rsid w:val="006C25FE"/>
    <w:rsid w:val="00746D13"/>
    <w:rsid w:val="007605A7"/>
    <w:rsid w:val="007A7FF4"/>
    <w:rsid w:val="00827FD0"/>
    <w:rsid w:val="00831D51"/>
    <w:rsid w:val="00843785"/>
    <w:rsid w:val="00844B9A"/>
    <w:rsid w:val="00855A6B"/>
    <w:rsid w:val="008B5F19"/>
    <w:rsid w:val="00962BD5"/>
    <w:rsid w:val="00980009"/>
    <w:rsid w:val="009A5729"/>
    <w:rsid w:val="009E42CF"/>
    <w:rsid w:val="00A2493D"/>
    <w:rsid w:val="00A420C9"/>
    <w:rsid w:val="00A52B04"/>
    <w:rsid w:val="00A64D27"/>
    <w:rsid w:val="00AA4DA3"/>
    <w:rsid w:val="00B215C5"/>
    <w:rsid w:val="00B72435"/>
    <w:rsid w:val="00BD6B4B"/>
    <w:rsid w:val="00C13BFA"/>
    <w:rsid w:val="00C166DA"/>
    <w:rsid w:val="00C33F0A"/>
    <w:rsid w:val="00C44A73"/>
    <w:rsid w:val="00C570F6"/>
    <w:rsid w:val="00CA3466"/>
    <w:rsid w:val="00CC2658"/>
    <w:rsid w:val="00CF6D24"/>
    <w:rsid w:val="00D12CFA"/>
    <w:rsid w:val="00D21C1D"/>
    <w:rsid w:val="00D54845"/>
    <w:rsid w:val="00DB2770"/>
    <w:rsid w:val="00DB28A5"/>
    <w:rsid w:val="00E07008"/>
    <w:rsid w:val="00E241FD"/>
    <w:rsid w:val="00E541E9"/>
    <w:rsid w:val="00E547D0"/>
    <w:rsid w:val="00EB07BF"/>
    <w:rsid w:val="00ED76B0"/>
    <w:rsid w:val="00EE425F"/>
    <w:rsid w:val="00F30294"/>
    <w:rsid w:val="00F344BD"/>
    <w:rsid w:val="00F53D5D"/>
    <w:rsid w:val="00F9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04FC-74E8-4314-AB0E-E7122779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71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CF"/>
    <w:rPr>
      <w:rFonts w:ascii="Segoe UI" w:hAnsi="Segoe UI" w:cs="Segoe UI"/>
      <w:sz w:val="18"/>
      <w:szCs w:val="18"/>
    </w:rPr>
  </w:style>
  <w:style w:type="paragraph" w:customStyle="1" w:styleId="Trescpola">
    <w:name w:val="Tresc_pola"/>
    <w:basedOn w:val="Normalny"/>
    <w:rsid w:val="00E541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0">
    <w:name w:val="Style20"/>
    <w:basedOn w:val="Normalny"/>
    <w:uiPriority w:val="99"/>
    <w:rsid w:val="00980009"/>
    <w:pPr>
      <w:widowControl w:val="0"/>
      <w:autoSpaceDE w:val="0"/>
      <w:autoSpaceDN w:val="0"/>
      <w:adjustRightInd w:val="0"/>
      <w:spacing w:after="0" w:line="274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9800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2726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Mocarna</dc:creator>
  <cp:lastModifiedBy>Andrzej Grącki</cp:lastModifiedBy>
  <cp:revision>6</cp:revision>
  <cp:lastPrinted>2017-12-28T12:24:00Z</cp:lastPrinted>
  <dcterms:created xsi:type="dcterms:W3CDTF">2017-12-27T12:44:00Z</dcterms:created>
  <dcterms:modified xsi:type="dcterms:W3CDTF">2017-12-28T12:27:00Z</dcterms:modified>
</cp:coreProperties>
</file>